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823" w:rsidRDefault="005039D7" w:rsidP="001E341E">
      <w:pPr>
        <w:pStyle w:val="Heading1"/>
      </w:pPr>
      <w:r>
        <w:br/>
      </w:r>
      <w:r>
        <w:br/>
      </w:r>
      <w:r w:rsidR="00CD7ECA">
        <w:t>Recommended Updates to Net-to-</w:t>
      </w:r>
      <w:r w:rsidR="00D1468C" w:rsidRPr="00CB6D68">
        <w:t>Gross Ratios for Residential Water Heating Systems and Energy Efficiency Measures</w:t>
      </w:r>
    </w:p>
    <w:p w:rsidR="00CB6D68" w:rsidRPr="004F6398" w:rsidRDefault="005039D7" w:rsidP="004F6398">
      <w:pPr>
        <w:pStyle w:val="Heading2"/>
      </w:pPr>
      <w:r w:rsidRPr="004F6398">
        <w:t xml:space="preserve">Introduction – </w:t>
      </w:r>
      <w:r w:rsidR="00CB6D68" w:rsidRPr="004F6398">
        <w:t>Residential Hot Water Systems and Water Flow Restriction Measures</w:t>
      </w:r>
    </w:p>
    <w:p w:rsidR="00E72E6C" w:rsidRDefault="00E72E6C" w:rsidP="00E72E6C">
      <w:r>
        <w:t>In this analysis, the most recent net-to-gross ratio (NTGR) results for more efficient water heating systems and low flow energy efficiency measures are compared to the existing NTGR values in the current DEER data base.  These NTGR estimates were part of a larger evaluation of residential retrofit energy efficiency programs conducted by various contractors for the Energy Division of the California PUC for the 2006-08 program cycle.  Based on these comparisons, the DEER Team derived a recommended NTGR value for the three measures in this technology group; residential aerators, low flow showerheads, and more efficient residential gas water heater systems.  For each measure, the Team compared the strengths and weaknesses of the methods used to derive NTGR results in the previous DEER and contrasted this to the methods used to estimate NTGR in previous evaluations of utility programs in California.  The factors considered by the DEER Team in making a final NTGR recommendation are the following:</w:t>
      </w:r>
    </w:p>
    <w:p w:rsidR="00E72E6C" w:rsidRPr="00CD7ECA" w:rsidRDefault="00E72E6C" w:rsidP="00E72E6C">
      <w:pPr>
        <w:pStyle w:val="ListParagraph"/>
        <w:numPr>
          <w:ilvl w:val="0"/>
          <w:numId w:val="45"/>
        </w:numPr>
      </w:pPr>
      <w:r w:rsidRPr="00CD7ECA">
        <w:t>The relative merits of the methods and sampling plans used to derive NTGR for existing DEER values and results from new studies</w:t>
      </w:r>
      <w:r>
        <w:t>;</w:t>
      </w:r>
    </w:p>
    <w:p w:rsidR="00E72E6C" w:rsidRPr="00CD7ECA" w:rsidRDefault="00E72E6C" w:rsidP="00E72E6C">
      <w:pPr>
        <w:pStyle w:val="ListParagraph"/>
        <w:numPr>
          <w:ilvl w:val="0"/>
          <w:numId w:val="46"/>
        </w:numPr>
      </w:pPr>
      <w:r w:rsidRPr="00CD7ECA">
        <w:t>Potential changes in program design or measure minimum qualification levels between the previous evaluation and 2006-08 evaluation</w:t>
      </w:r>
      <w:r>
        <w:t>;</w:t>
      </w:r>
    </w:p>
    <w:p w:rsidR="00E72E6C" w:rsidRPr="00CD7ECA" w:rsidRDefault="00E72E6C" w:rsidP="00E72E6C">
      <w:pPr>
        <w:pStyle w:val="ListParagraph"/>
        <w:numPr>
          <w:ilvl w:val="0"/>
          <w:numId w:val="46"/>
        </w:numPr>
      </w:pPr>
      <w:r w:rsidRPr="00CD7ECA">
        <w:t>Rate of change in the market share of efficient measures or products over time</w:t>
      </w:r>
      <w:r>
        <w:t>; and</w:t>
      </w:r>
    </w:p>
    <w:p w:rsidR="00E72E6C" w:rsidRDefault="00E72E6C" w:rsidP="00E72E6C">
      <w:pPr>
        <w:pStyle w:val="ListParagraph"/>
        <w:numPr>
          <w:ilvl w:val="0"/>
          <w:numId w:val="46"/>
        </w:numPr>
      </w:pPr>
      <w:r w:rsidRPr="00CD7ECA">
        <w:t>Any available evidence on trends in rebates offered as a fraction of the incremental cost of the measures or more efficient hot water systems</w:t>
      </w:r>
      <w:r>
        <w:t>.</w:t>
      </w:r>
    </w:p>
    <w:p w:rsidR="00CB6D68" w:rsidRPr="00E72E6C" w:rsidRDefault="00E72E6C" w:rsidP="00CB6D68">
      <w:r>
        <w:t xml:space="preserve">After making a recommendation for a specific NTGR value to use in this DEER 2011 update, the DEER Team identified the program and market factors that are likely to lead to changes in NTGR results between now and the first potential ex ante application of these values in 2013.  The Team then assess whether there is sufficient data and or analysis tools to accurately forecast the likely trend in NTGR values between 2008 and post-2012 for this specific measure and program design.  If there is sufficient data to make an accurate forecast absent any significant changes in program design and or qualifying levels for rebated measures, the Team produced a </w:t>
      </w:r>
      <w:r>
        <w:lastRenderedPageBreak/>
        <w:t xml:space="preserve">forecast of NTGR for use in program fielded post-2012.  These forecasts are based on the assumption that program design or qualifying efficiency level are not likely to significantly change between programs deployed in 2008 and those in post-2012.  If there are significant changes to these factors, </w:t>
      </w:r>
      <w:r w:rsidR="000C152B">
        <w:t>the Team</w:t>
      </w:r>
      <w:r w:rsidR="00320FDD">
        <w:t xml:space="preserve"> </w:t>
      </w:r>
      <w:r>
        <w:t>recommend</w:t>
      </w:r>
      <w:r w:rsidR="00320FDD">
        <w:t>s</w:t>
      </w:r>
      <w:r>
        <w:t xml:space="preserve"> the use of our unadjusted NTGR values based on the most recent evaluation research. </w:t>
      </w:r>
    </w:p>
    <w:p w:rsidR="00C51AAF" w:rsidRPr="004F6398" w:rsidRDefault="00CB6D68" w:rsidP="004F6398">
      <w:pPr>
        <w:pStyle w:val="Heading2"/>
        <w:rPr>
          <w:rFonts w:eastAsiaTheme="minorHAnsi"/>
        </w:rPr>
      </w:pPr>
      <w:r w:rsidRPr="004F6398">
        <w:rPr>
          <w:rFonts w:eastAsiaTheme="minorHAnsi"/>
        </w:rPr>
        <w:t xml:space="preserve">Comparison of Current DEER NTGR to Results from </w:t>
      </w:r>
      <w:r w:rsidR="006F4FB8" w:rsidRPr="004F6398">
        <w:rPr>
          <w:rFonts w:eastAsiaTheme="minorHAnsi"/>
        </w:rPr>
        <w:t>L</w:t>
      </w:r>
      <w:r w:rsidRPr="004F6398">
        <w:rPr>
          <w:rFonts w:eastAsiaTheme="minorHAnsi"/>
        </w:rPr>
        <w:t xml:space="preserve">atest EM&amp;V </w:t>
      </w:r>
      <w:r w:rsidR="0059185A" w:rsidRPr="004F6398">
        <w:rPr>
          <w:rFonts w:eastAsiaTheme="minorHAnsi"/>
        </w:rPr>
        <w:t>Analyses</w:t>
      </w:r>
      <w:r w:rsidRPr="004F6398">
        <w:rPr>
          <w:rFonts w:eastAsiaTheme="minorHAnsi"/>
        </w:rPr>
        <w:t xml:space="preserve"> in 2006-2008</w:t>
      </w:r>
    </w:p>
    <w:p w:rsidR="00CB6D68" w:rsidRDefault="00250321" w:rsidP="00CB6D68">
      <w:pPr>
        <w:rPr>
          <w:rFonts w:eastAsiaTheme="minorHAnsi"/>
        </w:rPr>
      </w:pPr>
      <w:r>
        <w:rPr>
          <w:rFonts w:eastAsiaTheme="minorHAnsi"/>
        </w:rPr>
        <w:fldChar w:fldCharType="begin"/>
      </w:r>
      <w:r w:rsidR="005039D7">
        <w:rPr>
          <w:rFonts w:eastAsiaTheme="minorHAnsi"/>
        </w:rPr>
        <w:instrText xml:space="preserve"> REF _Ref305601884 </w:instrText>
      </w:r>
      <w:r>
        <w:rPr>
          <w:rFonts w:eastAsiaTheme="minorHAnsi"/>
        </w:rPr>
        <w:fldChar w:fldCharType="separate"/>
      </w:r>
      <w:r w:rsidR="008D6E8B">
        <w:t xml:space="preserve">Table </w:t>
      </w:r>
      <w:r w:rsidR="008D6E8B">
        <w:rPr>
          <w:noProof/>
        </w:rPr>
        <w:t>13</w:t>
      </w:r>
      <w:r w:rsidR="008D6E8B">
        <w:noBreakHyphen/>
      </w:r>
      <w:r w:rsidR="008D6E8B">
        <w:rPr>
          <w:noProof/>
        </w:rPr>
        <w:t>1</w:t>
      </w:r>
      <w:r>
        <w:rPr>
          <w:rFonts w:eastAsiaTheme="minorHAnsi"/>
        </w:rPr>
        <w:fldChar w:fldCharType="end"/>
      </w:r>
      <w:r w:rsidR="00CB6D68">
        <w:rPr>
          <w:rFonts w:eastAsiaTheme="minorHAnsi"/>
        </w:rPr>
        <w:t xml:space="preserve"> compares the NTGR estimates in the existing DEER database</w:t>
      </w:r>
      <w:r w:rsidR="00874B38">
        <w:rPr>
          <w:rFonts w:eastAsiaTheme="minorHAnsi"/>
        </w:rPr>
        <w:t xml:space="preserve"> </w:t>
      </w:r>
      <w:r w:rsidR="00CB6D68">
        <w:rPr>
          <w:rFonts w:eastAsiaTheme="minorHAnsi"/>
        </w:rPr>
        <w:t>to recent NTGR results from the 2006-2008 Cadmus study for similar measures and programs designs.</w:t>
      </w:r>
      <w:r w:rsidR="00CB6D68" w:rsidRPr="0082240A">
        <w:rPr>
          <w:rStyle w:val="FootnoteReference"/>
          <w:rFonts w:eastAsiaTheme="minorHAnsi"/>
        </w:rPr>
        <w:footnoteReference w:id="1"/>
      </w:r>
      <w:r w:rsidR="006F4FB8">
        <w:rPr>
          <w:rFonts w:eastAsiaTheme="minorHAnsi"/>
        </w:rPr>
        <w:t xml:space="preserve"> </w:t>
      </w:r>
      <w:r w:rsidR="00E72E6C">
        <w:rPr>
          <w:rFonts w:eastAsiaTheme="minorHAnsi"/>
        </w:rPr>
        <w:t>The Current DEER data base contains default values for faucet aerators and low flow showerheads and values from the 2004-05 eval</w:t>
      </w:r>
      <w:r w:rsidR="00320FDD">
        <w:rPr>
          <w:rFonts w:eastAsiaTheme="minorHAnsi"/>
        </w:rPr>
        <w:t>u</w:t>
      </w:r>
      <w:r w:rsidR="00E72E6C">
        <w:rPr>
          <w:rFonts w:eastAsiaTheme="minorHAnsi"/>
        </w:rPr>
        <w:t xml:space="preserve">ation studies for residential gas water heaters. </w:t>
      </w:r>
      <w:r w:rsidR="00E72E6C">
        <w:t xml:space="preserve"> </w:t>
      </w:r>
      <w:r w:rsidR="00CB6D68">
        <w:rPr>
          <w:rFonts w:eastAsiaTheme="minorHAnsi"/>
        </w:rPr>
        <w:t>These differences in NTGR for each of the three m</w:t>
      </w:r>
      <w:r w:rsidR="005039D7">
        <w:rPr>
          <w:rFonts w:eastAsiaTheme="minorHAnsi"/>
        </w:rPr>
        <w:t>ajor measures are significant (</w:t>
      </w:r>
      <w:r w:rsidR="00CB6D68">
        <w:rPr>
          <w:rFonts w:eastAsiaTheme="minorHAnsi"/>
        </w:rPr>
        <w:t>greater than a 10% change) and could reflect changes in program design, evaluation methods, or the underlying market structure between 2005 and 2008</w:t>
      </w:r>
      <w:r w:rsidR="005039D7">
        <w:rPr>
          <w:rFonts w:eastAsiaTheme="minorHAnsi"/>
        </w:rPr>
        <w:t xml:space="preserve">. </w:t>
      </w:r>
      <w:r w:rsidR="00CB6D68">
        <w:rPr>
          <w:rFonts w:eastAsiaTheme="minorHAnsi"/>
        </w:rPr>
        <w:t xml:space="preserve"> Each potential cause is explored below. </w:t>
      </w:r>
    </w:p>
    <w:p w:rsidR="00CB6D68" w:rsidRPr="006D623F" w:rsidRDefault="005039D7" w:rsidP="005039D7">
      <w:pPr>
        <w:pStyle w:val="Caption"/>
        <w:rPr>
          <w:rFonts w:eastAsiaTheme="minorHAnsi"/>
          <w:b w:val="0"/>
        </w:rPr>
      </w:pPr>
      <w:bookmarkStart w:id="0" w:name="_Ref305601884"/>
      <w:r>
        <w:t xml:space="preserve">Table </w:t>
      </w:r>
      <w:r w:rsidR="00250321">
        <w:fldChar w:fldCharType="begin"/>
      </w:r>
      <w:r w:rsidR="00C51AAF">
        <w:instrText xml:space="preserve"> STYLEREF 1 \s </w:instrText>
      </w:r>
      <w:r w:rsidR="00250321">
        <w:fldChar w:fldCharType="separate"/>
      </w:r>
      <w:r w:rsidR="008D6E8B">
        <w:rPr>
          <w:noProof/>
        </w:rPr>
        <w:t>13</w:t>
      </w:r>
      <w:r w:rsidR="00250321">
        <w:fldChar w:fldCharType="end"/>
      </w:r>
      <w:r w:rsidR="007D6C1A">
        <w:noBreakHyphen/>
      </w:r>
      <w:r w:rsidR="00250321">
        <w:fldChar w:fldCharType="begin"/>
      </w:r>
      <w:r w:rsidR="00C51AAF">
        <w:instrText xml:space="preserve"> SEQ Table \* ARABIC \s 1 </w:instrText>
      </w:r>
      <w:r w:rsidR="00250321">
        <w:fldChar w:fldCharType="separate"/>
      </w:r>
      <w:r w:rsidR="008D6E8B">
        <w:rPr>
          <w:noProof/>
        </w:rPr>
        <w:t>1</w:t>
      </w:r>
      <w:r w:rsidR="00250321">
        <w:fldChar w:fldCharType="end"/>
      </w:r>
      <w:bookmarkEnd w:id="0"/>
      <w:r w:rsidR="000348F3">
        <w:t>:</w:t>
      </w:r>
      <w:r>
        <w:rPr>
          <w:b w:val="0"/>
        </w:rPr>
        <w:t xml:space="preserve"> </w:t>
      </w:r>
      <w:r w:rsidR="00CB6D68" w:rsidRPr="005039D7">
        <w:t xml:space="preserve">Overview of NTGR </w:t>
      </w:r>
      <w:r w:rsidRPr="005039D7">
        <w:t xml:space="preserve">Results </w:t>
      </w:r>
      <w:r w:rsidR="00CB6D68" w:rsidRPr="005039D7">
        <w:t xml:space="preserve">by </w:t>
      </w:r>
      <w:r w:rsidRPr="005039D7">
        <w:t xml:space="preserve">Measure, Delivery Mechanism </w:t>
      </w:r>
      <w:r w:rsidR="00CB6D68" w:rsidRPr="005039D7">
        <w:t xml:space="preserve">and </w:t>
      </w:r>
      <w:r w:rsidRPr="005039D7">
        <w:t>Source</w:t>
      </w:r>
    </w:p>
    <w:tbl>
      <w:tblPr>
        <w:tblStyle w:val="ItronBasic"/>
        <w:tblW w:w="9360" w:type="dxa"/>
        <w:tblLayout w:type="fixed"/>
        <w:tblCellMar>
          <w:left w:w="115" w:type="dxa"/>
          <w:right w:w="115" w:type="dxa"/>
        </w:tblCellMar>
        <w:tblLook w:val="04A0"/>
      </w:tblPr>
      <w:tblGrid>
        <w:gridCol w:w="2095"/>
        <w:gridCol w:w="1462"/>
        <w:gridCol w:w="2948"/>
        <w:gridCol w:w="2855"/>
      </w:tblGrid>
      <w:tr w:rsidR="00CB6D68" w:rsidRPr="00CD7ECA" w:rsidTr="008D6E8B">
        <w:trPr>
          <w:cnfStyle w:val="100000000000"/>
          <w:cantSplit/>
        </w:trPr>
        <w:tc>
          <w:tcPr>
            <w:tcW w:w="2095" w:type="dxa"/>
            <w:shd w:val="pct20" w:color="auto" w:fill="auto"/>
            <w:vAlign w:val="bottom"/>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Energy Efficiency Measure</w:t>
            </w:r>
          </w:p>
        </w:tc>
        <w:tc>
          <w:tcPr>
            <w:tcW w:w="1462" w:type="dxa"/>
            <w:shd w:val="pct20" w:color="auto" w:fill="auto"/>
            <w:vAlign w:val="bottom"/>
          </w:tcPr>
          <w:p w:rsidR="00CB6D68" w:rsidRPr="00CD7ECA" w:rsidRDefault="00CB6D68" w:rsidP="00CD7ECA">
            <w:pPr>
              <w:keepNext/>
              <w:keepLines/>
              <w:spacing w:before="40" w:after="40"/>
              <w:jc w:val="center"/>
              <w:rPr>
                <w:rFonts w:eastAsiaTheme="minorHAnsi"/>
                <w:sz w:val="20"/>
                <w:szCs w:val="20"/>
              </w:rPr>
            </w:pPr>
            <w:r w:rsidRPr="00CD7ECA">
              <w:rPr>
                <w:rFonts w:eastAsiaTheme="minorHAnsi"/>
                <w:sz w:val="20"/>
                <w:szCs w:val="20"/>
              </w:rPr>
              <w:t>Delivery Mechanism</w:t>
            </w:r>
          </w:p>
        </w:tc>
        <w:tc>
          <w:tcPr>
            <w:tcW w:w="2948" w:type="dxa"/>
            <w:shd w:val="pct20" w:color="auto" w:fill="auto"/>
            <w:vAlign w:val="bottom"/>
          </w:tcPr>
          <w:p w:rsidR="00CB6D68" w:rsidRPr="00CD7ECA" w:rsidRDefault="00CB6D68" w:rsidP="00CD7ECA">
            <w:pPr>
              <w:keepNext/>
              <w:keepLines/>
              <w:spacing w:before="40" w:after="40"/>
              <w:jc w:val="center"/>
              <w:rPr>
                <w:rFonts w:eastAsiaTheme="minorHAnsi"/>
                <w:sz w:val="20"/>
                <w:szCs w:val="20"/>
              </w:rPr>
            </w:pPr>
            <w:r w:rsidRPr="00CD7ECA">
              <w:rPr>
                <w:rFonts w:eastAsiaTheme="minorHAnsi"/>
                <w:sz w:val="20"/>
                <w:szCs w:val="20"/>
              </w:rPr>
              <w:t>Existing DEER NTGR (Source)</w:t>
            </w:r>
          </w:p>
        </w:tc>
        <w:tc>
          <w:tcPr>
            <w:tcW w:w="2855" w:type="dxa"/>
            <w:shd w:val="pct20" w:color="auto" w:fill="auto"/>
            <w:vAlign w:val="bottom"/>
          </w:tcPr>
          <w:p w:rsidR="00CB6D68" w:rsidRPr="00CD7ECA" w:rsidRDefault="00CB6D68" w:rsidP="00CD7ECA">
            <w:pPr>
              <w:keepNext/>
              <w:keepLines/>
              <w:spacing w:before="40" w:after="40"/>
              <w:jc w:val="center"/>
              <w:rPr>
                <w:rFonts w:eastAsiaTheme="minorHAnsi"/>
                <w:sz w:val="20"/>
                <w:szCs w:val="20"/>
              </w:rPr>
            </w:pPr>
            <w:r w:rsidRPr="00CD7ECA">
              <w:rPr>
                <w:rFonts w:eastAsiaTheme="minorHAnsi"/>
                <w:sz w:val="20"/>
                <w:szCs w:val="20"/>
              </w:rPr>
              <w:t>06-08 NTGR</w:t>
            </w:r>
            <w:r w:rsidR="00874B38" w:rsidRPr="00CD7ECA">
              <w:rPr>
                <w:rFonts w:eastAsiaTheme="minorHAnsi"/>
                <w:sz w:val="20"/>
                <w:szCs w:val="20"/>
              </w:rPr>
              <w:t xml:space="preserve"> </w:t>
            </w:r>
            <w:r w:rsidRPr="00CD7ECA">
              <w:rPr>
                <w:rFonts w:eastAsiaTheme="minorHAnsi"/>
                <w:sz w:val="20"/>
                <w:szCs w:val="20"/>
              </w:rPr>
              <w:t>(Source)</w:t>
            </w:r>
          </w:p>
        </w:tc>
      </w:tr>
      <w:tr w:rsidR="00CB6D68" w:rsidRPr="00CD7ECA" w:rsidTr="008D6E8B">
        <w:trPr>
          <w:cantSplit/>
        </w:trPr>
        <w:tc>
          <w:tcPr>
            <w:tcW w:w="2095" w:type="dxa"/>
            <w:vAlign w:val="center"/>
          </w:tcPr>
          <w:p w:rsidR="00CB6D68" w:rsidRPr="00CD7ECA" w:rsidRDefault="005759FC" w:rsidP="00CD7ECA">
            <w:pPr>
              <w:keepNext/>
              <w:keepLines/>
              <w:spacing w:before="40" w:after="40"/>
              <w:rPr>
                <w:sz w:val="20"/>
                <w:szCs w:val="20"/>
              </w:rPr>
            </w:pPr>
            <w:r>
              <w:rPr>
                <w:sz w:val="20"/>
                <w:szCs w:val="20"/>
              </w:rPr>
              <w:t>Faucet</w:t>
            </w:r>
            <w:r w:rsidR="00CB6D68" w:rsidRPr="00CD7ECA">
              <w:rPr>
                <w:sz w:val="20"/>
                <w:szCs w:val="20"/>
              </w:rPr>
              <w:t xml:space="preserve"> Aerators</w:t>
            </w:r>
          </w:p>
        </w:tc>
        <w:tc>
          <w:tcPr>
            <w:tcW w:w="1462"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Direct Install</w:t>
            </w:r>
          </w:p>
        </w:tc>
        <w:tc>
          <w:tcPr>
            <w:tcW w:w="2948"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0.85 (Default NTGR for direct install in hard to reach, See 2008 DEER report )</w:t>
            </w:r>
          </w:p>
        </w:tc>
        <w:tc>
          <w:tcPr>
            <w:tcW w:w="2855"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0.59 SF, 0.65 MF</w:t>
            </w:r>
            <w:r w:rsidRPr="00CD7ECA">
              <w:rPr>
                <w:rFonts w:eastAsiaTheme="minorHAnsi"/>
                <w:sz w:val="20"/>
                <w:szCs w:val="20"/>
              </w:rPr>
              <w:br/>
              <w:t>(Cadmus, Res Retrofit 2006-08)</w:t>
            </w:r>
          </w:p>
        </w:tc>
      </w:tr>
      <w:tr w:rsidR="00CB6D68" w:rsidRPr="00CD7ECA" w:rsidTr="008D6E8B">
        <w:trPr>
          <w:cantSplit/>
        </w:trPr>
        <w:tc>
          <w:tcPr>
            <w:tcW w:w="2095" w:type="dxa"/>
            <w:vAlign w:val="center"/>
          </w:tcPr>
          <w:p w:rsidR="00CB6D68" w:rsidRPr="00CD7ECA" w:rsidRDefault="00CB6D68" w:rsidP="00CD7ECA">
            <w:pPr>
              <w:keepNext/>
              <w:keepLines/>
              <w:spacing w:before="40" w:after="40"/>
              <w:rPr>
                <w:sz w:val="20"/>
                <w:szCs w:val="20"/>
              </w:rPr>
            </w:pPr>
            <w:r w:rsidRPr="00CD7ECA">
              <w:rPr>
                <w:sz w:val="20"/>
                <w:szCs w:val="20"/>
              </w:rPr>
              <w:t>Low Flow Showerheads</w:t>
            </w:r>
          </w:p>
        </w:tc>
        <w:tc>
          <w:tcPr>
            <w:tcW w:w="1462"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Direct Install</w:t>
            </w:r>
          </w:p>
        </w:tc>
        <w:tc>
          <w:tcPr>
            <w:tcW w:w="2948"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0.85 (Default NTGR for direct install)</w:t>
            </w:r>
          </w:p>
        </w:tc>
        <w:tc>
          <w:tcPr>
            <w:tcW w:w="2855" w:type="dxa"/>
            <w:vAlign w:val="center"/>
          </w:tcPr>
          <w:p w:rsidR="00CB6D68" w:rsidRPr="00CD7ECA" w:rsidRDefault="00CB6D68" w:rsidP="00CD7ECA">
            <w:pPr>
              <w:keepNext/>
              <w:keepLines/>
              <w:tabs>
                <w:tab w:val="left" w:pos="1415"/>
              </w:tabs>
              <w:spacing w:before="40" w:after="40"/>
              <w:rPr>
                <w:rFonts w:eastAsiaTheme="minorHAnsi"/>
                <w:sz w:val="20"/>
                <w:szCs w:val="20"/>
              </w:rPr>
            </w:pPr>
            <w:r w:rsidRPr="00CD7ECA">
              <w:rPr>
                <w:rFonts w:eastAsiaTheme="minorHAnsi"/>
                <w:sz w:val="20"/>
                <w:szCs w:val="20"/>
              </w:rPr>
              <w:t>SCG (MF)</w:t>
            </w:r>
            <w:r w:rsidRPr="00CD7ECA">
              <w:rPr>
                <w:rFonts w:eastAsiaTheme="minorHAnsi"/>
                <w:sz w:val="20"/>
                <w:szCs w:val="20"/>
              </w:rPr>
              <w:tab/>
              <w:t>0.72</w:t>
            </w:r>
          </w:p>
          <w:p w:rsidR="00CB6D68" w:rsidRPr="00CD7ECA" w:rsidRDefault="00CB6D68" w:rsidP="00CD7ECA">
            <w:pPr>
              <w:keepNext/>
              <w:keepLines/>
              <w:tabs>
                <w:tab w:val="left" w:pos="1415"/>
                <w:tab w:val="left" w:pos="2196"/>
              </w:tabs>
              <w:spacing w:before="40" w:after="40"/>
              <w:rPr>
                <w:rFonts w:eastAsiaTheme="minorHAnsi"/>
                <w:sz w:val="20"/>
                <w:szCs w:val="20"/>
              </w:rPr>
            </w:pPr>
            <w:r w:rsidRPr="00CD7ECA">
              <w:rPr>
                <w:rFonts w:eastAsiaTheme="minorHAnsi"/>
                <w:sz w:val="20"/>
                <w:szCs w:val="20"/>
              </w:rPr>
              <w:t>SDGE (MF)</w:t>
            </w:r>
            <w:r w:rsidRPr="00CD7ECA">
              <w:rPr>
                <w:rFonts w:eastAsiaTheme="minorHAnsi"/>
                <w:sz w:val="20"/>
                <w:szCs w:val="20"/>
              </w:rPr>
              <w:tab/>
              <w:t>0.68</w:t>
            </w:r>
          </w:p>
          <w:p w:rsidR="00CB6D68" w:rsidRPr="00CD7ECA" w:rsidRDefault="00CB6D68" w:rsidP="00CD7ECA">
            <w:pPr>
              <w:keepNext/>
              <w:keepLines/>
              <w:tabs>
                <w:tab w:val="left" w:pos="1415"/>
              </w:tabs>
              <w:spacing w:before="40" w:after="40"/>
              <w:rPr>
                <w:rFonts w:eastAsiaTheme="minorHAnsi"/>
                <w:sz w:val="20"/>
                <w:szCs w:val="20"/>
              </w:rPr>
            </w:pPr>
            <w:r w:rsidRPr="00CD7ECA">
              <w:rPr>
                <w:rFonts w:eastAsiaTheme="minorHAnsi"/>
                <w:sz w:val="20"/>
                <w:szCs w:val="20"/>
              </w:rPr>
              <w:t>SDG&amp;E (SF)</w:t>
            </w:r>
            <w:r w:rsidRPr="00CD7ECA">
              <w:rPr>
                <w:rFonts w:eastAsiaTheme="minorHAnsi"/>
                <w:sz w:val="20"/>
                <w:szCs w:val="20"/>
              </w:rPr>
              <w:tab/>
              <w:t>0.70</w:t>
            </w:r>
          </w:p>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(Cadmus, Res Retrofit 2006-08)</w:t>
            </w:r>
          </w:p>
        </w:tc>
      </w:tr>
      <w:tr w:rsidR="00CB6D68" w:rsidRPr="00CD7ECA" w:rsidTr="008D6E8B">
        <w:trPr>
          <w:cantSplit/>
        </w:trPr>
        <w:tc>
          <w:tcPr>
            <w:tcW w:w="2095" w:type="dxa"/>
            <w:vAlign w:val="center"/>
          </w:tcPr>
          <w:p w:rsidR="00CB6D68" w:rsidRPr="00CD7ECA" w:rsidRDefault="00CB6D68" w:rsidP="00CD7ECA">
            <w:pPr>
              <w:keepNext/>
              <w:keepLines/>
              <w:spacing w:before="40" w:after="40"/>
              <w:rPr>
                <w:sz w:val="20"/>
                <w:szCs w:val="20"/>
              </w:rPr>
            </w:pPr>
            <w:r w:rsidRPr="00CD7ECA">
              <w:rPr>
                <w:sz w:val="20"/>
                <w:szCs w:val="20"/>
              </w:rPr>
              <w:t xml:space="preserve">Residential Gas Storage /Instantaneous Water Heater </w:t>
            </w:r>
            <w:r w:rsidRPr="00CD7ECA">
              <w:rPr>
                <w:rFonts w:eastAsiaTheme="minorHAnsi"/>
                <w:sz w:val="20"/>
                <w:szCs w:val="20"/>
              </w:rPr>
              <w:t>EF &gt;0.62 &gt;30 gallons</w:t>
            </w:r>
          </w:p>
        </w:tc>
        <w:tc>
          <w:tcPr>
            <w:tcW w:w="1462"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Downstream Rebate-Prescriptive</w:t>
            </w:r>
          </w:p>
        </w:tc>
        <w:tc>
          <w:tcPr>
            <w:tcW w:w="2948"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0.58 (all res bldg types) Itron, 2004-5 Single Family Impact Evaluation</w:t>
            </w:r>
            <w:r w:rsidRPr="0082240A">
              <w:rPr>
                <w:rStyle w:val="FootnoteReference"/>
                <w:rFonts w:eastAsiaTheme="minorHAnsi"/>
              </w:rPr>
              <w:footnoteReference w:id="2"/>
            </w:r>
            <w:r w:rsidRPr="00CD7ECA">
              <w:rPr>
                <w:rFonts w:eastAsiaTheme="minorHAnsi"/>
                <w:sz w:val="20"/>
                <w:szCs w:val="20"/>
              </w:rPr>
              <w:t>)</w:t>
            </w:r>
          </w:p>
        </w:tc>
        <w:tc>
          <w:tcPr>
            <w:tcW w:w="2855" w:type="dxa"/>
            <w:vAlign w:val="center"/>
          </w:tcPr>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0.23 SDGE</w:t>
            </w:r>
          </w:p>
          <w:p w:rsidR="00CB6D68" w:rsidRPr="00CD7ECA" w:rsidRDefault="00CB6D68" w:rsidP="00CD7ECA">
            <w:pPr>
              <w:keepNext/>
              <w:keepLines/>
              <w:spacing w:before="40" w:after="40"/>
              <w:rPr>
                <w:rFonts w:eastAsiaTheme="minorHAnsi"/>
                <w:sz w:val="20"/>
                <w:szCs w:val="20"/>
              </w:rPr>
            </w:pPr>
            <w:r w:rsidRPr="00CD7ECA">
              <w:rPr>
                <w:rFonts w:eastAsiaTheme="minorHAnsi"/>
                <w:sz w:val="20"/>
                <w:szCs w:val="20"/>
              </w:rPr>
              <w:t>0.18 PGE (Cadmus, Ibid)</w:t>
            </w:r>
          </w:p>
        </w:tc>
      </w:tr>
    </w:tbl>
    <w:p w:rsidR="00CB6D68" w:rsidRDefault="00CB6D68" w:rsidP="00CD7ECA">
      <w:pPr>
        <w:pStyle w:val="Halfline"/>
        <w:rPr>
          <w:rFonts w:eastAsiaTheme="minorHAnsi"/>
        </w:rPr>
      </w:pPr>
    </w:p>
    <w:p w:rsidR="006F4FB8" w:rsidRDefault="006F4FB8" w:rsidP="00213A09">
      <w:pPr>
        <w:pStyle w:val="Heading2"/>
        <w:rPr>
          <w:rFonts w:eastAsiaTheme="minorHAnsi"/>
        </w:rPr>
      </w:pPr>
      <w:r w:rsidRPr="00A66036">
        <w:rPr>
          <w:rFonts w:eastAsiaTheme="minorHAnsi"/>
        </w:rPr>
        <w:t>Differences in Program Design</w:t>
      </w:r>
    </w:p>
    <w:p w:rsidR="006F4FB8" w:rsidRPr="003E09AA" w:rsidRDefault="006F4FB8" w:rsidP="006F4FB8">
      <w:pPr>
        <w:rPr>
          <w:rFonts w:eastAsiaTheme="minorHAnsi"/>
          <w:b/>
          <w:i/>
        </w:rPr>
      </w:pPr>
      <w:r>
        <w:rPr>
          <w:rFonts w:eastAsiaTheme="minorHAnsi"/>
        </w:rPr>
        <w:t xml:space="preserve">The </w:t>
      </w:r>
      <w:r w:rsidR="005039D7">
        <w:rPr>
          <w:rFonts w:eastAsiaTheme="minorHAnsi"/>
        </w:rPr>
        <w:t xml:space="preserve">Direct Install Program </w:t>
      </w:r>
      <w:r>
        <w:rPr>
          <w:rFonts w:eastAsiaTheme="minorHAnsi"/>
        </w:rPr>
        <w:t>delivery method was used to promote low flow measures (faucet aerators and low flow showerheads)</w:t>
      </w:r>
      <w:r w:rsidR="00874B38">
        <w:rPr>
          <w:rFonts w:eastAsiaTheme="minorHAnsi"/>
        </w:rPr>
        <w:t xml:space="preserve"> </w:t>
      </w:r>
      <w:r>
        <w:rPr>
          <w:rFonts w:eastAsiaTheme="minorHAnsi"/>
        </w:rPr>
        <w:t xml:space="preserve">in both the 2004-05 and 2006-08 </w:t>
      </w:r>
      <w:r w:rsidR="00CD7ECA">
        <w:rPr>
          <w:rFonts w:eastAsiaTheme="minorHAnsi"/>
        </w:rPr>
        <w:t xml:space="preserve">programs.  </w:t>
      </w:r>
      <w:r>
        <w:rPr>
          <w:rFonts w:eastAsiaTheme="minorHAnsi"/>
        </w:rPr>
        <w:t xml:space="preserve">Similarly, the </w:t>
      </w:r>
      <w:r w:rsidR="005039D7">
        <w:rPr>
          <w:rFonts w:eastAsiaTheme="minorHAnsi"/>
        </w:rPr>
        <w:lastRenderedPageBreak/>
        <w:t xml:space="preserve">Prescriptive Rebate Program </w:t>
      </w:r>
      <w:r>
        <w:rPr>
          <w:rFonts w:eastAsiaTheme="minorHAnsi"/>
        </w:rPr>
        <w:t>design used</w:t>
      </w:r>
      <w:r w:rsidR="00874B38">
        <w:rPr>
          <w:rFonts w:eastAsiaTheme="minorHAnsi"/>
        </w:rPr>
        <w:t xml:space="preserve"> </w:t>
      </w:r>
      <w:r>
        <w:rPr>
          <w:rFonts w:eastAsiaTheme="minorHAnsi"/>
        </w:rPr>
        <w:t xml:space="preserve">to promote more efficient gas water heaters from 2004-05 has not changed significantly relative to the design used and evaluated in 2006-08 programs. </w:t>
      </w:r>
      <w:r w:rsidR="00A37C2D">
        <w:rPr>
          <w:rFonts w:eastAsiaTheme="minorHAnsi"/>
        </w:rPr>
        <w:t xml:space="preserve"> </w:t>
      </w:r>
      <w:r>
        <w:rPr>
          <w:rFonts w:eastAsiaTheme="minorHAnsi"/>
        </w:rPr>
        <w:t>Thus</w:t>
      </w:r>
      <w:r w:rsidR="00A37C2D">
        <w:rPr>
          <w:rFonts w:eastAsiaTheme="minorHAnsi"/>
        </w:rPr>
        <w:t>,</w:t>
      </w:r>
      <w:r>
        <w:rPr>
          <w:rFonts w:eastAsiaTheme="minorHAnsi"/>
        </w:rPr>
        <w:t xml:space="preserve"> the differences in NTGR estimates in this table are not likely related to changes in program design between the two program vintages.</w:t>
      </w:r>
    </w:p>
    <w:p w:rsidR="00C51AAF" w:rsidRPr="004F6398" w:rsidRDefault="006F4FB8" w:rsidP="004F6398">
      <w:pPr>
        <w:pStyle w:val="Heading2"/>
        <w:rPr>
          <w:rFonts w:eastAsiaTheme="minorHAnsi"/>
        </w:rPr>
      </w:pPr>
      <w:r w:rsidRPr="004F6398">
        <w:rPr>
          <w:rFonts w:eastAsiaTheme="minorHAnsi"/>
        </w:rPr>
        <w:t xml:space="preserve">Comparison of </w:t>
      </w:r>
      <w:r w:rsidR="0059185A" w:rsidRPr="004F6398">
        <w:rPr>
          <w:rFonts w:eastAsiaTheme="minorHAnsi"/>
        </w:rPr>
        <w:t>Methods</w:t>
      </w:r>
      <w:r w:rsidRPr="004F6398">
        <w:rPr>
          <w:rFonts w:eastAsiaTheme="minorHAnsi"/>
        </w:rPr>
        <w:t xml:space="preserve"> and Sample Sizes Used to Derive NTGR Results</w:t>
      </w:r>
    </w:p>
    <w:p w:rsidR="006F4FB8" w:rsidRDefault="00250321" w:rsidP="006F4FB8">
      <w:pPr>
        <w:rPr>
          <w:rFonts w:eastAsiaTheme="minorHAnsi"/>
        </w:rPr>
      </w:pPr>
      <w:r>
        <w:rPr>
          <w:rFonts w:eastAsiaTheme="minorHAnsi"/>
        </w:rPr>
        <w:fldChar w:fldCharType="begin"/>
      </w:r>
      <w:r w:rsidR="00A37C2D">
        <w:rPr>
          <w:rFonts w:eastAsiaTheme="minorHAnsi"/>
        </w:rPr>
        <w:instrText xml:space="preserve"> REF _Ref306173717 </w:instrText>
      </w:r>
      <w:r>
        <w:rPr>
          <w:rFonts w:eastAsiaTheme="minorHAnsi"/>
        </w:rPr>
        <w:fldChar w:fldCharType="separate"/>
      </w:r>
      <w:r w:rsidR="008D6E8B">
        <w:t xml:space="preserve">Table </w:t>
      </w:r>
      <w:r w:rsidR="008D6E8B">
        <w:rPr>
          <w:noProof/>
        </w:rPr>
        <w:t>13</w:t>
      </w:r>
      <w:r w:rsidR="008D6E8B">
        <w:noBreakHyphen/>
      </w:r>
      <w:r w:rsidR="008D6E8B">
        <w:rPr>
          <w:noProof/>
        </w:rPr>
        <w:t>2</w:t>
      </w:r>
      <w:r>
        <w:rPr>
          <w:rFonts w:eastAsiaTheme="minorHAnsi"/>
        </w:rPr>
        <w:fldChar w:fldCharType="end"/>
      </w:r>
      <w:r w:rsidR="00A37C2D">
        <w:rPr>
          <w:rFonts w:eastAsiaTheme="minorHAnsi"/>
        </w:rPr>
        <w:t xml:space="preserve"> and </w:t>
      </w:r>
      <w:r>
        <w:rPr>
          <w:rFonts w:eastAsiaTheme="minorHAnsi"/>
        </w:rPr>
        <w:fldChar w:fldCharType="begin"/>
      </w:r>
      <w:r w:rsidR="00A37C2D">
        <w:rPr>
          <w:rFonts w:eastAsiaTheme="minorHAnsi"/>
        </w:rPr>
        <w:instrText xml:space="preserve"> REF _Ref306173719 </w:instrText>
      </w:r>
      <w:r>
        <w:rPr>
          <w:rFonts w:eastAsiaTheme="minorHAnsi"/>
        </w:rPr>
        <w:fldChar w:fldCharType="separate"/>
      </w:r>
      <w:r w:rsidR="008D6E8B">
        <w:t xml:space="preserve">Table </w:t>
      </w:r>
      <w:r w:rsidR="008D6E8B">
        <w:rPr>
          <w:noProof/>
        </w:rPr>
        <w:t>13</w:t>
      </w:r>
      <w:r w:rsidR="008D6E8B">
        <w:noBreakHyphen/>
      </w:r>
      <w:r w:rsidR="008D6E8B">
        <w:rPr>
          <w:noProof/>
        </w:rPr>
        <w:t>3</w:t>
      </w:r>
      <w:r>
        <w:rPr>
          <w:rFonts w:eastAsiaTheme="minorHAnsi"/>
        </w:rPr>
        <w:fldChar w:fldCharType="end"/>
      </w:r>
      <w:r w:rsidR="00A37C2D">
        <w:rPr>
          <w:rFonts w:eastAsiaTheme="minorHAnsi"/>
        </w:rPr>
        <w:t xml:space="preserve"> </w:t>
      </w:r>
      <w:r w:rsidR="006F4FB8">
        <w:rPr>
          <w:rFonts w:eastAsiaTheme="minorHAnsi"/>
        </w:rPr>
        <w:t>compare the methods and sample sizes used to estimate NTGRs for 2004-05 programs compared to 2006-08 programs.</w:t>
      </w:r>
      <w:r w:rsidR="00A37C2D">
        <w:rPr>
          <w:rFonts w:eastAsiaTheme="minorHAnsi"/>
        </w:rPr>
        <w:t xml:space="preserve"> </w:t>
      </w:r>
      <w:r w:rsidR="006F4FB8">
        <w:rPr>
          <w:rFonts w:eastAsiaTheme="minorHAnsi"/>
        </w:rPr>
        <w:t xml:space="preserve"> </w:t>
      </w:r>
      <w:r>
        <w:rPr>
          <w:rFonts w:eastAsiaTheme="minorHAnsi"/>
        </w:rPr>
        <w:fldChar w:fldCharType="begin"/>
      </w:r>
      <w:r w:rsidR="00A37C2D">
        <w:rPr>
          <w:rFonts w:eastAsiaTheme="minorHAnsi"/>
        </w:rPr>
        <w:instrText xml:space="preserve"> REF _Ref306173717 </w:instrText>
      </w:r>
      <w:r>
        <w:rPr>
          <w:rFonts w:eastAsiaTheme="minorHAnsi"/>
        </w:rPr>
        <w:fldChar w:fldCharType="separate"/>
      </w:r>
      <w:r w:rsidR="008D6E8B">
        <w:t xml:space="preserve">Table </w:t>
      </w:r>
      <w:r w:rsidR="008D6E8B">
        <w:rPr>
          <w:noProof/>
        </w:rPr>
        <w:t>13</w:t>
      </w:r>
      <w:r w:rsidR="008D6E8B">
        <w:noBreakHyphen/>
      </w:r>
      <w:r w:rsidR="008D6E8B">
        <w:rPr>
          <w:noProof/>
        </w:rPr>
        <w:t>2</w:t>
      </w:r>
      <w:r>
        <w:rPr>
          <w:rFonts w:eastAsiaTheme="minorHAnsi"/>
        </w:rPr>
        <w:fldChar w:fldCharType="end"/>
      </w:r>
      <w:r w:rsidR="006F4FB8">
        <w:rPr>
          <w:rFonts w:eastAsiaTheme="minorHAnsi"/>
        </w:rPr>
        <w:t xml:space="preserve"> provides information on low flow showerheads and aerators.  </w:t>
      </w:r>
      <w:r>
        <w:rPr>
          <w:rFonts w:eastAsiaTheme="minorHAnsi"/>
        </w:rPr>
        <w:fldChar w:fldCharType="begin"/>
      </w:r>
      <w:r w:rsidR="00A37C2D">
        <w:rPr>
          <w:rFonts w:eastAsiaTheme="minorHAnsi"/>
        </w:rPr>
        <w:instrText xml:space="preserve"> REF _Ref306173719 </w:instrText>
      </w:r>
      <w:r>
        <w:rPr>
          <w:rFonts w:eastAsiaTheme="minorHAnsi"/>
        </w:rPr>
        <w:fldChar w:fldCharType="separate"/>
      </w:r>
      <w:r w:rsidR="008D6E8B">
        <w:t xml:space="preserve">Table </w:t>
      </w:r>
      <w:r w:rsidR="008D6E8B">
        <w:rPr>
          <w:noProof/>
        </w:rPr>
        <w:t>13</w:t>
      </w:r>
      <w:r w:rsidR="008D6E8B">
        <w:noBreakHyphen/>
      </w:r>
      <w:r w:rsidR="008D6E8B">
        <w:rPr>
          <w:noProof/>
        </w:rPr>
        <w:t>3</w:t>
      </w:r>
      <w:r>
        <w:rPr>
          <w:rFonts w:eastAsiaTheme="minorHAnsi"/>
        </w:rPr>
        <w:fldChar w:fldCharType="end"/>
      </w:r>
      <w:r w:rsidR="006F4FB8">
        <w:rPr>
          <w:rFonts w:eastAsiaTheme="minorHAnsi"/>
        </w:rPr>
        <w:t xml:space="preserve"> provides the corresponding information for residential gas water heater systems.  We discuss the potential impact of changes in method and different sample sizes before making a final conclusion on the final NTGR for each measures.</w:t>
      </w:r>
    </w:p>
    <w:p w:rsidR="00C51AAF" w:rsidRPr="004F6398" w:rsidRDefault="006F4FB8" w:rsidP="004F6398">
      <w:pPr>
        <w:pStyle w:val="Heading2"/>
        <w:rPr>
          <w:rFonts w:eastAsiaTheme="minorHAnsi"/>
        </w:rPr>
      </w:pPr>
      <w:r w:rsidRPr="004F6398">
        <w:rPr>
          <w:rFonts w:eastAsiaTheme="minorHAnsi"/>
        </w:rPr>
        <w:t>Differences in Evaluation Methods</w:t>
      </w:r>
    </w:p>
    <w:p w:rsidR="006F4FB8" w:rsidRDefault="00E72E6C" w:rsidP="006F4FB8">
      <w:pPr>
        <w:rPr>
          <w:rFonts w:eastAsiaTheme="minorHAnsi"/>
        </w:rPr>
      </w:pPr>
      <w:r>
        <w:rPr>
          <w:rFonts w:eastAsiaTheme="minorHAnsi"/>
        </w:rPr>
        <w:t xml:space="preserve">The 2006-08 evaluation for </w:t>
      </w:r>
      <w:r w:rsidR="006F4FB8">
        <w:rPr>
          <w:rFonts w:eastAsiaTheme="minorHAnsi"/>
        </w:rPr>
        <w:t>these water heating measures used the standardized set of self report questions adopted by the CPUC to estimate NTGR.  The 200</w:t>
      </w:r>
      <w:r>
        <w:rPr>
          <w:rFonts w:eastAsiaTheme="minorHAnsi"/>
        </w:rPr>
        <w:t>6-</w:t>
      </w:r>
      <w:r w:rsidR="00320FDD">
        <w:rPr>
          <w:rFonts w:eastAsiaTheme="minorHAnsi"/>
        </w:rPr>
        <w:t>08 evaluation</w:t>
      </w:r>
      <w:r>
        <w:rPr>
          <w:rFonts w:eastAsiaTheme="minorHAnsi"/>
        </w:rPr>
        <w:t xml:space="preserve"> </w:t>
      </w:r>
      <w:r w:rsidR="006F4FB8">
        <w:rPr>
          <w:rFonts w:eastAsiaTheme="minorHAnsi"/>
        </w:rPr>
        <w:t xml:space="preserve">survey batteries are relatively comprehensive relative to the shorter set of questions used in the 2004-05 evaluation of the same measures. </w:t>
      </w:r>
      <w:r w:rsidR="00A37C2D">
        <w:rPr>
          <w:rFonts w:eastAsiaTheme="minorHAnsi"/>
        </w:rPr>
        <w:t xml:space="preserve"> </w:t>
      </w:r>
      <w:r w:rsidR="006F4FB8">
        <w:rPr>
          <w:rFonts w:eastAsiaTheme="minorHAnsi"/>
        </w:rPr>
        <w:t xml:space="preserve">The more comprehensive set of questions was designed to tease out different types of impacts that the rebate offer might have on customer decisions including the potential to accelerate customer purchases of more efficient systems and influence customers to choose slightly levels of efficiency than they would have done in the absence of the program. </w:t>
      </w:r>
      <w:r w:rsidR="00874B38">
        <w:rPr>
          <w:rFonts w:eastAsiaTheme="minorHAnsi"/>
        </w:rPr>
        <w:t xml:space="preserve"> </w:t>
      </w:r>
      <w:r w:rsidR="006F4FB8">
        <w:rPr>
          <w:rFonts w:eastAsiaTheme="minorHAnsi"/>
        </w:rPr>
        <w:t>The large drop in NTGRs observed for these measures from 2005 to 2008 may be related to the use of these different survey batteries to determine NTGR in the 200</w:t>
      </w:r>
      <w:r>
        <w:rPr>
          <w:rFonts w:eastAsiaTheme="minorHAnsi"/>
        </w:rPr>
        <w:t>6-0</w:t>
      </w:r>
      <w:r w:rsidR="006F4FB8">
        <w:rPr>
          <w:rFonts w:eastAsiaTheme="minorHAnsi"/>
        </w:rPr>
        <w:t>8 survey.  Alternatively</w:t>
      </w:r>
      <w:r w:rsidR="00A37C2D">
        <w:rPr>
          <w:rFonts w:eastAsiaTheme="minorHAnsi"/>
        </w:rPr>
        <w:t>,</w:t>
      </w:r>
      <w:r w:rsidR="006F4FB8">
        <w:rPr>
          <w:rFonts w:eastAsiaTheme="minorHAnsi"/>
        </w:rPr>
        <w:t xml:space="preserve"> the observed drop could be simply due to changes in market share of more efficient products over time. </w:t>
      </w:r>
    </w:p>
    <w:p w:rsidR="00C51AAF" w:rsidRDefault="006F4FB8">
      <w:pPr>
        <w:pStyle w:val="Heading2"/>
        <w:rPr>
          <w:rFonts w:eastAsiaTheme="minorHAnsi"/>
        </w:rPr>
      </w:pPr>
      <w:r w:rsidRPr="000871A5">
        <w:rPr>
          <w:rFonts w:eastAsiaTheme="minorHAnsi"/>
        </w:rPr>
        <w:t xml:space="preserve">Differences </w:t>
      </w:r>
      <w:r w:rsidRPr="00213A09">
        <w:rPr>
          <w:rFonts w:eastAsiaTheme="minorHAnsi"/>
        </w:rPr>
        <w:t>in</w:t>
      </w:r>
      <w:r w:rsidRPr="000871A5">
        <w:rPr>
          <w:rFonts w:eastAsiaTheme="minorHAnsi"/>
        </w:rPr>
        <w:t xml:space="preserve"> Sample Size</w:t>
      </w:r>
    </w:p>
    <w:p w:rsidR="006F4FB8" w:rsidRDefault="00250321" w:rsidP="006F4FB8">
      <w:pPr>
        <w:rPr>
          <w:rFonts w:eastAsiaTheme="minorHAnsi"/>
        </w:rPr>
      </w:pPr>
      <w:r>
        <w:rPr>
          <w:rFonts w:eastAsiaTheme="minorHAnsi"/>
        </w:rPr>
        <w:fldChar w:fldCharType="begin"/>
      </w:r>
      <w:r w:rsidR="00A37C2D">
        <w:rPr>
          <w:rFonts w:eastAsiaTheme="minorHAnsi"/>
        </w:rPr>
        <w:instrText xml:space="preserve"> REF _Ref306173717 </w:instrText>
      </w:r>
      <w:r>
        <w:rPr>
          <w:rFonts w:eastAsiaTheme="minorHAnsi"/>
        </w:rPr>
        <w:fldChar w:fldCharType="separate"/>
      </w:r>
      <w:r w:rsidR="008D6E8B">
        <w:t xml:space="preserve">Table </w:t>
      </w:r>
      <w:r w:rsidR="008D6E8B">
        <w:rPr>
          <w:noProof/>
        </w:rPr>
        <w:t>13</w:t>
      </w:r>
      <w:r w:rsidR="008D6E8B">
        <w:noBreakHyphen/>
      </w:r>
      <w:r w:rsidR="008D6E8B">
        <w:rPr>
          <w:noProof/>
        </w:rPr>
        <w:t>2</w:t>
      </w:r>
      <w:r>
        <w:rPr>
          <w:rFonts w:eastAsiaTheme="minorHAnsi"/>
        </w:rPr>
        <w:fldChar w:fldCharType="end"/>
      </w:r>
      <w:r w:rsidR="00A37C2D">
        <w:rPr>
          <w:rFonts w:eastAsiaTheme="minorHAnsi"/>
        </w:rPr>
        <w:t xml:space="preserve"> and </w:t>
      </w:r>
      <w:r>
        <w:rPr>
          <w:rFonts w:eastAsiaTheme="minorHAnsi"/>
        </w:rPr>
        <w:fldChar w:fldCharType="begin"/>
      </w:r>
      <w:r w:rsidR="00A37C2D">
        <w:rPr>
          <w:rFonts w:eastAsiaTheme="minorHAnsi"/>
        </w:rPr>
        <w:instrText xml:space="preserve"> REF _Ref306173719 </w:instrText>
      </w:r>
      <w:r>
        <w:rPr>
          <w:rFonts w:eastAsiaTheme="minorHAnsi"/>
        </w:rPr>
        <w:fldChar w:fldCharType="separate"/>
      </w:r>
      <w:r w:rsidR="008D6E8B">
        <w:t xml:space="preserve">Table </w:t>
      </w:r>
      <w:r w:rsidR="008D6E8B">
        <w:rPr>
          <w:noProof/>
        </w:rPr>
        <w:t>13</w:t>
      </w:r>
      <w:r w:rsidR="008D6E8B">
        <w:noBreakHyphen/>
      </w:r>
      <w:r w:rsidR="008D6E8B">
        <w:rPr>
          <w:noProof/>
        </w:rPr>
        <w:t>3</w:t>
      </w:r>
      <w:r>
        <w:rPr>
          <w:rFonts w:eastAsiaTheme="minorHAnsi"/>
        </w:rPr>
        <w:fldChar w:fldCharType="end"/>
      </w:r>
      <w:r w:rsidR="00A37C2D">
        <w:rPr>
          <w:rFonts w:eastAsiaTheme="minorHAnsi"/>
        </w:rPr>
        <w:t xml:space="preserve"> </w:t>
      </w:r>
      <w:r w:rsidR="006F4FB8">
        <w:rPr>
          <w:rFonts w:eastAsiaTheme="minorHAnsi"/>
        </w:rPr>
        <w:t>show</w:t>
      </w:r>
      <w:r w:rsidR="00874B38">
        <w:rPr>
          <w:rFonts w:eastAsiaTheme="minorHAnsi"/>
        </w:rPr>
        <w:t xml:space="preserve"> </w:t>
      </w:r>
      <w:r w:rsidR="006F4FB8">
        <w:rPr>
          <w:rFonts w:eastAsiaTheme="minorHAnsi"/>
        </w:rPr>
        <w:t>that</w:t>
      </w:r>
      <w:r w:rsidR="00874B38">
        <w:rPr>
          <w:rFonts w:eastAsiaTheme="minorHAnsi"/>
        </w:rPr>
        <w:t xml:space="preserve"> </w:t>
      </w:r>
      <w:r w:rsidR="006F4FB8">
        <w:rPr>
          <w:rFonts w:eastAsiaTheme="minorHAnsi"/>
        </w:rPr>
        <w:t>a significantly larger sample was used to estimate NTGR in the 200</w:t>
      </w:r>
      <w:r w:rsidR="000C152B">
        <w:rPr>
          <w:rFonts w:eastAsiaTheme="minorHAnsi"/>
        </w:rPr>
        <w:t>6-0</w:t>
      </w:r>
      <w:r w:rsidR="006F4FB8">
        <w:rPr>
          <w:rFonts w:eastAsiaTheme="minorHAnsi"/>
        </w:rPr>
        <w:t xml:space="preserve">8 program evaluations compared to the sample sizes used for the 2004-05 program evaluations. </w:t>
      </w:r>
      <w:r w:rsidR="00A37C2D">
        <w:rPr>
          <w:rFonts w:eastAsiaTheme="minorHAnsi"/>
        </w:rPr>
        <w:t xml:space="preserve"> </w:t>
      </w:r>
      <w:r w:rsidR="006F4FB8">
        <w:rPr>
          <w:rFonts w:eastAsiaTheme="minorHAnsi"/>
        </w:rPr>
        <w:t xml:space="preserve">Higher sample sizes should lead to more robust estimates of NTGR assuming an efficient sampling plan was used in each study. </w:t>
      </w:r>
      <w:r w:rsidR="00A37C2D">
        <w:rPr>
          <w:rFonts w:eastAsiaTheme="minorHAnsi"/>
        </w:rPr>
        <w:t xml:space="preserve"> </w:t>
      </w:r>
      <w:r w:rsidR="006F4FB8">
        <w:rPr>
          <w:rFonts w:eastAsiaTheme="minorHAnsi"/>
        </w:rPr>
        <w:t>This fact coupled with the earlier observation that the NTGR batteries used in 2008 were more comprehensive than the survey batteries from 2005 suggest that the NTGR ratios estimated for the 2006-08 programs should be used to replace the values currently in the DEER data base.</w:t>
      </w:r>
    </w:p>
    <w:p w:rsidR="006F4FB8" w:rsidRDefault="00A37C2D" w:rsidP="00A37C2D">
      <w:pPr>
        <w:pStyle w:val="Caption"/>
      </w:pPr>
      <w:bookmarkStart w:id="1" w:name="_Ref306173717"/>
      <w:bookmarkStart w:id="2" w:name="_Ref305590381"/>
      <w:r>
        <w:lastRenderedPageBreak/>
        <w:t xml:space="preserve">Table </w:t>
      </w:r>
      <w:r w:rsidR="00250321">
        <w:fldChar w:fldCharType="begin"/>
      </w:r>
      <w:r w:rsidR="00C51AAF">
        <w:instrText xml:space="preserve"> STYLEREF 1 \s </w:instrText>
      </w:r>
      <w:r w:rsidR="00250321">
        <w:fldChar w:fldCharType="separate"/>
      </w:r>
      <w:r w:rsidR="008D6E8B">
        <w:rPr>
          <w:noProof/>
        </w:rPr>
        <w:t>13</w:t>
      </w:r>
      <w:r w:rsidR="00250321">
        <w:fldChar w:fldCharType="end"/>
      </w:r>
      <w:r w:rsidR="007D6C1A">
        <w:noBreakHyphen/>
      </w:r>
      <w:r w:rsidR="00250321">
        <w:fldChar w:fldCharType="begin"/>
      </w:r>
      <w:r w:rsidR="00C51AAF">
        <w:instrText xml:space="preserve"> SEQ Table \* ARABIC \s 1 </w:instrText>
      </w:r>
      <w:r w:rsidR="00250321">
        <w:fldChar w:fldCharType="separate"/>
      </w:r>
      <w:r w:rsidR="008D6E8B">
        <w:rPr>
          <w:noProof/>
        </w:rPr>
        <w:t>2</w:t>
      </w:r>
      <w:r w:rsidR="00250321">
        <w:fldChar w:fldCharType="end"/>
      </w:r>
      <w:bookmarkEnd w:id="1"/>
      <w:r>
        <w:t xml:space="preserve">:  </w:t>
      </w:r>
      <w:bookmarkEnd w:id="2"/>
      <w:r w:rsidR="006F4FB8">
        <w:t>Methods and Sample Sizes for Aerators and Low</w:t>
      </w:r>
      <w:r w:rsidR="003D6C23">
        <w:t>-</w:t>
      </w:r>
      <w:r>
        <w:t xml:space="preserve">Flow </w:t>
      </w:r>
      <w:r w:rsidR="006F4FB8">
        <w:t>Showerheads</w:t>
      </w:r>
    </w:p>
    <w:tbl>
      <w:tblPr>
        <w:tblStyle w:val="ItronBasic"/>
        <w:tblW w:w="9360" w:type="dxa"/>
        <w:tblLayout w:type="fixed"/>
        <w:tblCellMar>
          <w:left w:w="115" w:type="dxa"/>
          <w:right w:w="115" w:type="dxa"/>
        </w:tblCellMar>
        <w:tblLook w:val="04A0"/>
      </w:tblPr>
      <w:tblGrid>
        <w:gridCol w:w="1678"/>
        <w:gridCol w:w="1900"/>
        <w:gridCol w:w="2145"/>
        <w:gridCol w:w="1737"/>
        <w:gridCol w:w="1900"/>
      </w:tblGrid>
      <w:tr w:rsidR="006F4FB8" w:rsidRPr="00CD7ECA" w:rsidTr="00CD7ECA">
        <w:trPr>
          <w:cnfStyle w:val="100000000000"/>
          <w:cantSplit/>
        </w:trPr>
        <w:tc>
          <w:tcPr>
            <w:tcW w:w="1825" w:type="dxa"/>
            <w:shd w:val="pct20" w:color="auto" w:fill="auto"/>
            <w:vAlign w:val="bottom"/>
          </w:tcPr>
          <w:p w:rsidR="006F4FB8" w:rsidRPr="00CD7ECA" w:rsidRDefault="006F4FB8" w:rsidP="00CD7ECA">
            <w:pPr>
              <w:keepNext/>
              <w:keepLines/>
              <w:spacing w:before="40" w:after="40"/>
              <w:rPr>
                <w:sz w:val="20"/>
                <w:szCs w:val="20"/>
              </w:rPr>
            </w:pPr>
            <w:r w:rsidRPr="00CD7ECA">
              <w:rPr>
                <w:sz w:val="20"/>
                <w:szCs w:val="20"/>
              </w:rPr>
              <w:t>Measure</w:t>
            </w:r>
          </w:p>
        </w:tc>
        <w:tc>
          <w:tcPr>
            <w:tcW w:w="207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 xml:space="preserve">Market Segment and </w:t>
            </w:r>
            <w:r w:rsidR="00CD7ECA" w:rsidRPr="00CD7ECA">
              <w:rPr>
                <w:sz w:val="20"/>
                <w:szCs w:val="20"/>
              </w:rPr>
              <w:t>Program Year</w:t>
            </w:r>
          </w:p>
        </w:tc>
        <w:tc>
          <w:tcPr>
            <w:tcW w:w="234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NTGR Method Used</w:t>
            </w:r>
          </w:p>
        </w:tc>
        <w:tc>
          <w:tcPr>
            <w:tcW w:w="189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 xml:space="preserve">Sample Size and Precision if </w:t>
            </w:r>
            <w:r w:rsidR="00CD7ECA" w:rsidRPr="00CD7ECA">
              <w:rPr>
                <w:sz w:val="20"/>
                <w:szCs w:val="20"/>
              </w:rPr>
              <w:t>Known</w:t>
            </w:r>
          </w:p>
        </w:tc>
        <w:tc>
          <w:tcPr>
            <w:tcW w:w="207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Delivery Mechanism</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Aerators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All-2004-05</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 or Default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25</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Aerators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MF-2006-08</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43</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Aerators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SF- 2006-08</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150</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Low Flow Showerheads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All-2004-05</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25</w:t>
            </w:r>
          </w:p>
        </w:tc>
        <w:tc>
          <w:tcPr>
            <w:tcW w:w="2070" w:type="dxa"/>
            <w:vAlign w:val="center"/>
          </w:tcPr>
          <w:p w:rsidR="006F4FB8" w:rsidRPr="00CD7ECA" w:rsidRDefault="006F4FB8" w:rsidP="00CD7ECA">
            <w:pPr>
              <w:keepNext/>
              <w:keepLines/>
              <w:spacing w:before="40" w:after="40"/>
              <w:rPr>
                <w:rFonts w:ascii="Direct Install" w:hAnsi="Direct Install"/>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Low Flow Showerheads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MF-2006-08</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379</w:t>
            </w:r>
          </w:p>
        </w:tc>
        <w:tc>
          <w:tcPr>
            <w:tcW w:w="2070" w:type="dxa"/>
            <w:vAlign w:val="center"/>
          </w:tcPr>
          <w:p w:rsidR="006F4FB8" w:rsidRPr="00CD7ECA" w:rsidRDefault="006F4FB8" w:rsidP="00CD7ECA">
            <w:pPr>
              <w:keepNext/>
              <w:keepLines/>
              <w:spacing w:before="40" w:after="40"/>
              <w:rPr>
                <w:rFonts w:ascii="Direct Install" w:hAnsi="Direct Install"/>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Low Flow Showerheads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SF-2006-08</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15</w:t>
            </w:r>
          </w:p>
        </w:tc>
        <w:tc>
          <w:tcPr>
            <w:tcW w:w="2070" w:type="dxa"/>
            <w:vAlign w:val="center"/>
          </w:tcPr>
          <w:p w:rsidR="006F4FB8" w:rsidRPr="00CD7ECA" w:rsidRDefault="006F4FB8" w:rsidP="00CD7ECA">
            <w:pPr>
              <w:keepNext/>
              <w:keepLines/>
              <w:spacing w:before="40" w:after="40"/>
              <w:rPr>
                <w:rFonts w:ascii="Direct Install" w:hAnsi="Direct Install"/>
                <w:sz w:val="20"/>
                <w:szCs w:val="20"/>
              </w:rPr>
            </w:pPr>
            <w:r w:rsidRPr="00CD7ECA">
              <w:rPr>
                <w:sz w:val="20"/>
                <w:szCs w:val="20"/>
              </w:rPr>
              <w:t>Direct Install</w:t>
            </w:r>
          </w:p>
        </w:tc>
      </w:tr>
      <w:tr w:rsidR="006F4FB8" w:rsidRPr="00CD7ECA" w:rsidTr="00CD7ECA">
        <w:trPr>
          <w:cantSplit/>
        </w:trPr>
        <w:tc>
          <w:tcPr>
            <w:tcW w:w="1825" w:type="dxa"/>
            <w:vAlign w:val="center"/>
          </w:tcPr>
          <w:p w:rsidR="006F4FB8" w:rsidRPr="00CD7ECA" w:rsidRDefault="006F4FB8" w:rsidP="00CD7ECA">
            <w:pPr>
              <w:keepNext/>
              <w:keepLines/>
              <w:spacing w:before="40" w:after="40"/>
              <w:rPr>
                <w:sz w:val="20"/>
                <w:szCs w:val="20"/>
              </w:rPr>
            </w:pPr>
            <w:r w:rsidRPr="00CD7ECA">
              <w:rPr>
                <w:sz w:val="20"/>
                <w:szCs w:val="20"/>
              </w:rPr>
              <w:t>Low Flow Showerheads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MF-2006-08</w:t>
            </w:r>
          </w:p>
        </w:tc>
        <w:tc>
          <w:tcPr>
            <w:tcW w:w="2340" w:type="dxa"/>
            <w:vAlign w:val="center"/>
          </w:tcPr>
          <w:p w:rsidR="006F4FB8" w:rsidRPr="00CD7ECA" w:rsidRDefault="006F4FB8" w:rsidP="00CD7ECA">
            <w:pPr>
              <w:keepNext/>
              <w:keepLines/>
              <w:spacing w:before="40" w:after="40"/>
              <w:rPr>
                <w:sz w:val="20"/>
                <w:szCs w:val="20"/>
              </w:rPr>
            </w:pPr>
            <w:r w:rsidRPr="00CD7ECA">
              <w:rPr>
                <w:sz w:val="20"/>
                <w:szCs w:val="20"/>
              </w:rPr>
              <w:t>Self Report</w:t>
            </w:r>
          </w:p>
        </w:tc>
        <w:tc>
          <w:tcPr>
            <w:tcW w:w="1890" w:type="dxa"/>
            <w:vAlign w:val="center"/>
          </w:tcPr>
          <w:p w:rsidR="006F4FB8" w:rsidRPr="00CD7ECA" w:rsidRDefault="006F4FB8" w:rsidP="00CD7ECA">
            <w:pPr>
              <w:keepNext/>
              <w:keepLines/>
              <w:tabs>
                <w:tab w:val="decimal" w:pos="397"/>
              </w:tabs>
              <w:spacing w:before="40" w:after="40"/>
              <w:jc w:val="center"/>
              <w:rPr>
                <w:sz w:val="20"/>
                <w:szCs w:val="20"/>
              </w:rPr>
            </w:pPr>
            <w:r w:rsidRPr="00CD7ECA">
              <w:rPr>
                <w:sz w:val="20"/>
                <w:szCs w:val="20"/>
              </w:rPr>
              <w:t>160</w:t>
            </w:r>
          </w:p>
        </w:tc>
        <w:tc>
          <w:tcPr>
            <w:tcW w:w="2070" w:type="dxa"/>
            <w:vAlign w:val="center"/>
          </w:tcPr>
          <w:p w:rsidR="006F4FB8" w:rsidRPr="00CD7ECA" w:rsidRDefault="006F4FB8" w:rsidP="00CD7ECA">
            <w:pPr>
              <w:keepNext/>
              <w:keepLines/>
              <w:spacing w:before="40" w:after="40"/>
              <w:rPr>
                <w:rFonts w:ascii="Direct Install" w:hAnsi="Direct Install"/>
                <w:sz w:val="20"/>
                <w:szCs w:val="20"/>
              </w:rPr>
            </w:pPr>
            <w:r w:rsidRPr="00CD7ECA">
              <w:rPr>
                <w:sz w:val="20"/>
                <w:szCs w:val="20"/>
              </w:rPr>
              <w:t>Direct Install</w:t>
            </w:r>
          </w:p>
        </w:tc>
      </w:tr>
    </w:tbl>
    <w:p w:rsidR="00A37C2D" w:rsidRDefault="00A37C2D" w:rsidP="00A37C2D">
      <w:pPr>
        <w:pStyle w:val="Halfline"/>
      </w:pPr>
      <w:bookmarkStart w:id="3" w:name="_Ref305590411"/>
    </w:p>
    <w:p w:rsidR="006F4FB8" w:rsidRDefault="00A37C2D" w:rsidP="00A37C2D">
      <w:pPr>
        <w:pStyle w:val="Caption"/>
      </w:pPr>
      <w:bookmarkStart w:id="4" w:name="_Ref306173719"/>
      <w:r>
        <w:t xml:space="preserve">Table </w:t>
      </w:r>
      <w:r w:rsidR="00250321">
        <w:fldChar w:fldCharType="begin"/>
      </w:r>
      <w:r w:rsidR="00C51AAF">
        <w:instrText xml:space="preserve"> STYLEREF 1 \s </w:instrText>
      </w:r>
      <w:r w:rsidR="00250321">
        <w:fldChar w:fldCharType="separate"/>
      </w:r>
      <w:r w:rsidR="008D6E8B">
        <w:rPr>
          <w:noProof/>
        </w:rPr>
        <w:t>13</w:t>
      </w:r>
      <w:r w:rsidR="00250321">
        <w:fldChar w:fldCharType="end"/>
      </w:r>
      <w:r w:rsidR="007D6C1A">
        <w:noBreakHyphen/>
      </w:r>
      <w:r w:rsidR="00250321">
        <w:fldChar w:fldCharType="begin"/>
      </w:r>
      <w:r w:rsidR="00C51AAF">
        <w:instrText xml:space="preserve"> SEQ Table \* ARABIC \s 1 </w:instrText>
      </w:r>
      <w:r w:rsidR="00250321">
        <w:fldChar w:fldCharType="separate"/>
      </w:r>
      <w:r w:rsidR="008D6E8B">
        <w:rPr>
          <w:noProof/>
        </w:rPr>
        <w:t>3</w:t>
      </w:r>
      <w:r w:rsidR="00250321">
        <w:fldChar w:fldCharType="end"/>
      </w:r>
      <w:bookmarkEnd w:id="4"/>
      <w:r>
        <w:t xml:space="preserve">:  </w:t>
      </w:r>
      <w:bookmarkEnd w:id="3"/>
      <w:r w:rsidR="006F4FB8">
        <w:t>Methods and Sample Sizes for Residential Gas Water Heating Systems</w:t>
      </w:r>
    </w:p>
    <w:tbl>
      <w:tblPr>
        <w:tblStyle w:val="ItronBasic"/>
        <w:tblW w:w="9360" w:type="dxa"/>
        <w:tblLayout w:type="fixed"/>
        <w:tblCellMar>
          <w:left w:w="115" w:type="dxa"/>
          <w:right w:w="115" w:type="dxa"/>
        </w:tblCellMar>
        <w:tblLook w:val="04A0"/>
      </w:tblPr>
      <w:tblGrid>
        <w:gridCol w:w="1920"/>
        <w:gridCol w:w="1896"/>
        <w:gridCol w:w="1815"/>
        <w:gridCol w:w="1896"/>
        <w:gridCol w:w="1833"/>
      </w:tblGrid>
      <w:tr w:rsidR="006F4FB8" w:rsidRPr="00CD7ECA" w:rsidTr="00CD7ECA">
        <w:trPr>
          <w:cnfStyle w:val="100000000000"/>
        </w:trPr>
        <w:tc>
          <w:tcPr>
            <w:tcW w:w="2095" w:type="dxa"/>
            <w:shd w:val="pct20" w:color="auto" w:fill="auto"/>
            <w:vAlign w:val="bottom"/>
          </w:tcPr>
          <w:p w:rsidR="006F4FB8" w:rsidRPr="00CD7ECA" w:rsidRDefault="006F4FB8" w:rsidP="00CD7ECA">
            <w:pPr>
              <w:keepNext/>
              <w:keepLines/>
              <w:spacing w:before="40" w:after="40"/>
              <w:rPr>
                <w:sz w:val="20"/>
                <w:szCs w:val="20"/>
              </w:rPr>
            </w:pPr>
            <w:r w:rsidRPr="00CD7ECA">
              <w:rPr>
                <w:sz w:val="20"/>
                <w:szCs w:val="20"/>
              </w:rPr>
              <w:t>Measure</w:t>
            </w:r>
          </w:p>
        </w:tc>
        <w:tc>
          <w:tcPr>
            <w:tcW w:w="207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 xml:space="preserve">Market Segment and </w:t>
            </w:r>
            <w:r w:rsidR="00CD7ECA" w:rsidRPr="00CD7ECA">
              <w:rPr>
                <w:sz w:val="20"/>
                <w:szCs w:val="20"/>
              </w:rPr>
              <w:t>Program Year</w:t>
            </w:r>
          </w:p>
        </w:tc>
        <w:tc>
          <w:tcPr>
            <w:tcW w:w="198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NTGR Method Used</w:t>
            </w:r>
          </w:p>
        </w:tc>
        <w:tc>
          <w:tcPr>
            <w:tcW w:w="207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 xml:space="preserve">Sample Size and Precision if </w:t>
            </w:r>
            <w:r w:rsidR="00CD7ECA" w:rsidRPr="00CD7ECA">
              <w:rPr>
                <w:sz w:val="20"/>
                <w:szCs w:val="20"/>
              </w:rPr>
              <w:t>Known</w:t>
            </w:r>
          </w:p>
        </w:tc>
        <w:tc>
          <w:tcPr>
            <w:tcW w:w="2000" w:type="dxa"/>
            <w:shd w:val="pct20" w:color="auto" w:fill="auto"/>
            <w:vAlign w:val="bottom"/>
          </w:tcPr>
          <w:p w:rsidR="006F4FB8" w:rsidRPr="00CD7ECA" w:rsidRDefault="006F4FB8" w:rsidP="00CD7ECA">
            <w:pPr>
              <w:keepNext/>
              <w:keepLines/>
              <w:spacing w:before="40" w:after="40"/>
              <w:jc w:val="center"/>
              <w:rPr>
                <w:sz w:val="20"/>
                <w:szCs w:val="20"/>
              </w:rPr>
            </w:pPr>
            <w:r w:rsidRPr="00CD7ECA">
              <w:rPr>
                <w:sz w:val="20"/>
                <w:szCs w:val="20"/>
              </w:rPr>
              <w:t>Delivery Mechanism</w:t>
            </w:r>
          </w:p>
        </w:tc>
      </w:tr>
      <w:tr w:rsidR="006F4FB8" w:rsidRPr="00CD7ECA" w:rsidTr="00CD7ECA">
        <w:tc>
          <w:tcPr>
            <w:tcW w:w="2095" w:type="dxa"/>
            <w:vAlign w:val="center"/>
          </w:tcPr>
          <w:p w:rsidR="006F4FB8" w:rsidRPr="00CD7ECA" w:rsidRDefault="006F4FB8" w:rsidP="00CD7ECA">
            <w:pPr>
              <w:keepNext/>
              <w:keepLines/>
              <w:spacing w:before="40" w:after="40"/>
              <w:rPr>
                <w:sz w:val="20"/>
                <w:szCs w:val="20"/>
              </w:rPr>
            </w:pPr>
            <w:r w:rsidRPr="00CD7ECA">
              <w:rPr>
                <w:sz w:val="20"/>
                <w:szCs w:val="20"/>
              </w:rPr>
              <w:t>Gas Water Heaters</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SF/MF- 2004-05</w:t>
            </w:r>
          </w:p>
        </w:tc>
        <w:tc>
          <w:tcPr>
            <w:tcW w:w="1980" w:type="dxa"/>
            <w:vAlign w:val="center"/>
          </w:tcPr>
          <w:p w:rsidR="006F4FB8" w:rsidRPr="00CD7ECA" w:rsidRDefault="006F4FB8" w:rsidP="00CD7ECA">
            <w:pPr>
              <w:keepNext/>
              <w:keepLines/>
              <w:spacing w:before="40" w:after="40"/>
              <w:rPr>
                <w:sz w:val="20"/>
                <w:szCs w:val="20"/>
              </w:rPr>
            </w:pPr>
            <w:r w:rsidRPr="00CD7ECA">
              <w:rPr>
                <w:sz w:val="20"/>
                <w:szCs w:val="20"/>
              </w:rPr>
              <w:t>Self report-simple</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53- no confidence interval reported</w:t>
            </w:r>
          </w:p>
        </w:tc>
        <w:tc>
          <w:tcPr>
            <w:tcW w:w="2000" w:type="dxa"/>
            <w:vAlign w:val="center"/>
          </w:tcPr>
          <w:p w:rsidR="006F4FB8" w:rsidRPr="00CD7ECA" w:rsidRDefault="006F4FB8" w:rsidP="00CD7ECA">
            <w:pPr>
              <w:keepNext/>
              <w:keepLines/>
              <w:spacing w:before="40" w:after="40"/>
              <w:rPr>
                <w:sz w:val="20"/>
                <w:szCs w:val="20"/>
              </w:rPr>
            </w:pPr>
            <w:r w:rsidRPr="00CD7ECA">
              <w:rPr>
                <w:sz w:val="20"/>
                <w:szCs w:val="20"/>
              </w:rPr>
              <w:t>Downstream Customer Rebates</w:t>
            </w:r>
          </w:p>
        </w:tc>
      </w:tr>
      <w:tr w:rsidR="006F4FB8" w:rsidRPr="00CD7ECA" w:rsidTr="00CD7ECA">
        <w:tc>
          <w:tcPr>
            <w:tcW w:w="2095" w:type="dxa"/>
            <w:vAlign w:val="center"/>
          </w:tcPr>
          <w:p w:rsidR="006F4FB8" w:rsidRPr="00CD7ECA" w:rsidRDefault="006F4FB8" w:rsidP="00CD7ECA">
            <w:pPr>
              <w:keepNext/>
              <w:keepLines/>
              <w:spacing w:before="40" w:after="40"/>
              <w:rPr>
                <w:sz w:val="20"/>
                <w:szCs w:val="20"/>
              </w:rPr>
            </w:pPr>
            <w:r w:rsidRPr="00CD7ECA">
              <w:rPr>
                <w:sz w:val="20"/>
                <w:szCs w:val="20"/>
              </w:rPr>
              <w:t>Residential Gas Storage Instantaneous Water Heater</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SF/MF-PG&amp;E-2006-08</w:t>
            </w:r>
          </w:p>
        </w:tc>
        <w:tc>
          <w:tcPr>
            <w:tcW w:w="1980" w:type="dxa"/>
            <w:vAlign w:val="center"/>
          </w:tcPr>
          <w:p w:rsidR="006F4FB8" w:rsidRPr="00CD7ECA" w:rsidRDefault="006F4FB8" w:rsidP="00CD7ECA">
            <w:pPr>
              <w:keepNext/>
              <w:keepLines/>
              <w:spacing w:before="40" w:after="40"/>
              <w:rPr>
                <w:sz w:val="20"/>
                <w:szCs w:val="20"/>
              </w:rPr>
            </w:pPr>
            <w:r w:rsidRPr="00CD7ECA">
              <w:rPr>
                <w:sz w:val="20"/>
                <w:szCs w:val="20"/>
              </w:rPr>
              <w:t>Self Report-comprehensive</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392—“ exceeded 90% confidence &amp;10 precision”</w:t>
            </w:r>
          </w:p>
        </w:tc>
        <w:tc>
          <w:tcPr>
            <w:tcW w:w="2000" w:type="dxa"/>
            <w:vAlign w:val="center"/>
          </w:tcPr>
          <w:p w:rsidR="006F4FB8" w:rsidRPr="00CD7ECA" w:rsidRDefault="006F4FB8" w:rsidP="00CD7ECA">
            <w:pPr>
              <w:keepNext/>
              <w:keepLines/>
              <w:spacing w:before="40" w:after="40"/>
              <w:rPr>
                <w:sz w:val="20"/>
                <w:szCs w:val="20"/>
              </w:rPr>
            </w:pPr>
            <w:r w:rsidRPr="00CD7ECA">
              <w:rPr>
                <w:sz w:val="20"/>
                <w:szCs w:val="20"/>
              </w:rPr>
              <w:t>Downstream Customer Rebates</w:t>
            </w:r>
          </w:p>
        </w:tc>
      </w:tr>
      <w:tr w:rsidR="006F4FB8" w:rsidRPr="00CD7ECA" w:rsidTr="00CD7ECA">
        <w:tc>
          <w:tcPr>
            <w:tcW w:w="2095" w:type="dxa"/>
            <w:vAlign w:val="center"/>
          </w:tcPr>
          <w:p w:rsidR="006F4FB8" w:rsidRPr="00CD7ECA" w:rsidRDefault="006F4FB8" w:rsidP="00CD7ECA">
            <w:pPr>
              <w:keepNext/>
              <w:keepLines/>
              <w:spacing w:before="40" w:after="40"/>
              <w:rPr>
                <w:sz w:val="20"/>
                <w:szCs w:val="20"/>
              </w:rPr>
            </w:pPr>
            <w:r w:rsidRPr="00CD7ECA">
              <w:rPr>
                <w:sz w:val="20"/>
                <w:szCs w:val="20"/>
              </w:rPr>
              <w:t>Residential Gas Storage Instantaneous Water Heater</w:t>
            </w:r>
          </w:p>
        </w:tc>
        <w:tc>
          <w:tcPr>
            <w:tcW w:w="2070" w:type="dxa"/>
            <w:vAlign w:val="center"/>
          </w:tcPr>
          <w:p w:rsidR="006F4FB8" w:rsidRPr="00CD7ECA" w:rsidRDefault="00E332A9" w:rsidP="00CD7ECA">
            <w:pPr>
              <w:keepNext/>
              <w:keepLines/>
              <w:spacing w:before="40" w:after="40"/>
              <w:rPr>
                <w:sz w:val="20"/>
                <w:szCs w:val="20"/>
              </w:rPr>
            </w:pPr>
            <w:r>
              <w:rPr>
                <w:sz w:val="20"/>
                <w:szCs w:val="20"/>
              </w:rPr>
              <w:t>SF/MF-SD</w:t>
            </w:r>
            <w:r w:rsidR="006F4FB8" w:rsidRPr="00CD7ECA">
              <w:rPr>
                <w:sz w:val="20"/>
                <w:szCs w:val="20"/>
              </w:rPr>
              <w:t>G&amp;E-2006-08</w:t>
            </w:r>
          </w:p>
        </w:tc>
        <w:tc>
          <w:tcPr>
            <w:tcW w:w="1980" w:type="dxa"/>
            <w:vAlign w:val="center"/>
          </w:tcPr>
          <w:p w:rsidR="006F4FB8" w:rsidRPr="00CD7ECA" w:rsidRDefault="006F4FB8" w:rsidP="00CD7ECA">
            <w:pPr>
              <w:keepNext/>
              <w:keepLines/>
              <w:spacing w:before="40" w:after="40"/>
              <w:rPr>
                <w:sz w:val="20"/>
                <w:szCs w:val="20"/>
              </w:rPr>
            </w:pPr>
            <w:r w:rsidRPr="00CD7ECA">
              <w:rPr>
                <w:sz w:val="20"/>
                <w:szCs w:val="20"/>
              </w:rPr>
              <w:t>Self Report-Comprehensive</w:t>
            </w:r>
          </w:p>
        </w:tc>
        <w:tc>
          <w:tcPr>
            <w:tcW w:w="2070" w:type="dxa"/>
            <w:vAlign w:val="center"/>
          </w:tcPr>
          <w:p w:rsidR="006F4FB8" w:rsidRPr="00CD7ECA" w:rsidRDefault="006F4FB8" w:rsidP="00CD7ECA">
            <w:pPr>
              <w:keepNext/>
              <w:keepLines/>
              <w:spacing w:before="40" w:after="40"/>
              <w:rPr>
                <w:sz w:val="20"/>
                <w:szCs w:val="20"/>
              </w:rPr>
            </w:pPr>
            <w:r w:rsidRPr="00CD7ECA">
              <w:rPr>
                <w:sz w:val="20"/>
                <w:szCs w:val="20"/>
              </w:rPr>
              <w:t>456-- , “exceeded 90% confidence &amp;10 %precision”</w:t>
            </w:r>
          </w:p>
        </w:tc>
        <w:tc>
          <w:tcPr>
            <w:tcW w:w="2000" w:type="dxa"/>
            <w:vAlign w:val="center"/>
          </w:tcPr>
          <w:p w:rsidR="006F4FB8" w:rsidRPr="00CD7ECA" w:rsidRDefault="006F4FB8" w:rsidP="00CD7ECA">
            <w:pPr>
              <w:keepNext/>
              <w:keepLines/>
              <w:spacing w:before="40" w:after="40"/>
              <w:rPr>
                <w:sz w:val="20"/>
                <w:szCs w:val="20"/>
              </w:rPr>
            </w:pPr>
            <w:r w:rsidRPr="00CD7ECA">
              <w:rPr>
                <w:sz w:val="20"/>
                <w:szCs w:val="20"/>
              </w:rPr>
              <w:t>Downstream Customer Rebates</w:t>
            </w:r>
          </w:p>
        </w:tc>
      </w:tr>
    </w:tbl>
    <w:p w:rsidR="00C51AAF" w:rsidRDefault="006F4FB8" w:rsidP="004F6398">
      <w:pPr>
        <w:pStyle w:val="Heading2"/>
        <w:rPr>
          <w:rFonts w:eastAsiaTheme="minorHAnsi"/>
        </w:rPr>
      </w:pPr>
      <w:r w:rsidRPr="00A66036">
        <w:rPr>
          <w:rFonts w:eastAsiaTheme="minorHAnsi"/>
        </w:rPr>
        <w:t xml:space="preserve">Recommended NTGR by </w:t>
      </w:r>
      <w:r w:rsidR="003D6C23">
        <w:rPr>
          <w:rFonts w:eastAsiaTheme="minorHAnsi"/>
        </w:rPr>
        <w:t>M</w:t>
      </w:r>
      <w:r w:rsidRPr="00A66036">
        <w:rPr>
          <w:rFonts w:eastAsiaTheme="minorHAnsi"/>
        </w:rPr>
        <w:t>easure</w:t>
      </w:r>
      <w:r>
        <w:rPr>
          <w:rFonts w:eastAsiaTheme="minorHAnsi"/>
        </w:rPr>
        <w:t xml:space="preserve">, </w:t>
      </w:r>
      <w:r w:rsidR="003D6C23">
        <w:rPr>
          <w:rFonts w:eastAsiaTheme="minorHAnsi"/>
        </w:rPr>
        <w:t>A</w:t>
      </w:r>
      <w:r w:rsidRPr="00A66036">
        <w:rPr>
          <w:rFonts w:eastAsiaTheme="minorHAnsi"/>
        </w:rPr>
        <w:t xml:space="preserve">pplicable </w:t>
      </w:r>
      <w:r w:rsidR="003D6C23">
        <w:rPr>
          <w:rFonts w:eastAsiaTheme="minorHAnsi"/>
        </w:rPr>
        <w:t>M</w:t>
      </w:r>
      <w:r w:rsidRPr="00A66036">
        <w:rPr>
          <w:rFonts w:eastAsiaTheme="minorHAnsi"/>
        </w:rPr>
        <w:t xml:space="preserve">arket </w:t>
      </w:r>
      <w:r w:rsidR="003D6C23">
        <w:rPr>
          <w:rFonts w:eastAsiaTheme="minorHAnsi"/>
        </w:rPr>
        <w:t>S</w:t>
      </w:r>
      <w:r w:rsidRPr="00A66036">
        <w:rPr>
          <w:rFonts w:eastAsiaTheme="minorHAnsi"/>
        </w:rPr>
        <w:t>egments</w:t>
      </w:r>
      <w:r>
        <w:rPr>
          <w:rFonts w:eastAsiaTheme="minorHAnsi"/>
        </w:rPr>
        <w:t>,</w:t>
      </w:r>
      <w:r w:rsidRPr="00A66036">
        <w:rPr>
          <w:rFonts w:eastAsiaTheme="minorHAnsi"/>
        </w:rPr>
        <w:t xml:space="preserve"> and </w:t>
      </w:r>
      <w:r w:rsidR="0059185A" w:rsidRPr="0059185A">
        <w:rPr>
          <w:rFonts w:eastAsiaTheme="minorHAnsi"/>
        </w:rPr>
        <w:t>Building</w:t>
      </w:r>
      <w:r w:rsidRPr="00A66036">
        <w:rPr>
          <w:rFonts w:eastAsiaTheme="minorHAnsi"/>
        </w:rPr>
        <w:t xml:space="preserve"> </w:t>
      </w:r>
      <w:r w:rsidR="003D6C23">
        <w:rPr>
          <w:rFonts w:eastAsiaTheme="minorHAnsi"/>
        </w:rPr>
        <w:t>T</w:t>
      </w:r>
      <w:r w:rsidRPr="00A66036">
        <w:rPr>
          <w:rFonts w:eastAsiaTheme="minorHAnsi"/>
        </w:rPr>
        <w:t>ypes</w:t>
      </w:r>
    </w:p>
    <w:p w:rsidR="006F4FB8" w:rsidRDefault="00250321" w:rsidP="006F4FB8">
      <w:pPr>
        <w:rPr>
          <w:rFonts w:eastAsiaTheme="minorHAnsi"/>
        </w:rPr>
      </w:pPr>
      <w:r>
        <w:rPr>
          <w:rFonts w:eastAsiaTheme="minorHAnsi"/>
        </w:rPr>
        <w:fldChar w:fldCharType="begin"/>
      </w:r>
      <w:r w:rsidR="00A37C2D">
        <w:rPr>
          <w:rFonts w:eastAsiaTheme="minorHAnsi"/>
        </w:rPr>
        <w:instrText xml:space="preserve"> REF _Ref306174007 </w:instrText>
      </w:r>
      <w:r>
        <w:rPr>
          <w:rFonts w:eastAsiaTheme="minorHAnsi"/>
        </w:rPr>
        <w:fldChar w:fldCharType="separate"/>
      </w:r>
      <w:r w:rsidR="008D6E8B">
        <w:t xml:space="preserve">Table </w:t>
      </w:r>
      <w:r w:rsidR="008D6E8B">
        <w:rPr>
          <w:noProof/>
        </w:rPr>
        <w:t>13</w:t>
      </w:r>
      <w:r w:rsidR="008D6E8B">
        <w:noBreakHyphen/>
      </w:r>
      <w:r w:rsidR="008D6E8B">
        <w:rPr>
          <w:noProof/>
        </w:rPr>
        <w:t>4</w:t>
      </w:r>
      <w:r>
        <w:rPr>
          <w:rFonts w:eastAsiaTheme="minorHAnsi"/>
        </w:rPr>
        <w:fldChar w:fldCharType="end"/>
      </w:r>
      <w:r w:rsidR="00CA62B1">
        <w:rPr>
          <w:rFonts w:eastAsiaTheme="minorHAnsi"/>
        </w:rPr>
        <w:t xml:space="preserve"> presents the recommended NTGR values for each measure and compares them to the NTGR values in the current DEER data base. </w:t>
      </w:r>
      <w:r w:rsidR="006F4FB8">
        <w:rPr>
          <w:rFonts w:eastAsiaTheme="minorHAnsi"/>
        </w:rPr>
        <w:t xml:space="preserve"> </w:t>
      </w:r>
      <w:r w:rsidR="00A37C2D">
        <w:rPr>
          <w:rFonts w:eastAsiaTheme="minorHAnsi"/>
        </w:rPr>
        <w:t>T</w:t>
      </w:r>
      <w:r w:rsidR="006F4FB8">
        <w:rPr>
          <w:rFonts w:eastAsiaTheme="minorHAnsi"/>
        </w:rPr>
        <w:t>he DEER team finds that the mos</w:t>
      </w:r>
      <w:r w:rsidR="00E72E6C">
        <w:rPr>
          <w:rFonts w:eastAsiaTheme="minorHAnsi"/>
        </w:rPr>
        <w:t>t recent evaluation conducted for 2006-0</w:t>
      </w:r>
      <w:r w:rsidR="006F4FB8">
        <w:rPr>
          <w:rFonts w:eastAsiaTheme="minorHAnsi"/>
        </w:rPr>
        <w:t xml:space="preserve">8 </w:t>
      </w:r>
      <w:r w:rsidR="00E72E6C">
        <w:rPr>
          <w:rFonts w:eastAsiaTheme="minorHAnsi"/>
        </w:rPr>
        <w:t xml:space="preserve">programs </w:t>
      </w:r>
      <w:r w:rsidR="006F4FB8">
        <w:rPr>
          <w:rFonts w:eastAsiaTheme="minorHAnsi"/>
        </w:rPr>
        <w:t>are likely to contain better, more precise information than the existing DEER based on the aforementioned review of methods, sample sizes</w:t>
      </w:r>
      <w:r w:rsidR="00A37C2D">
        <w:rPr>
          <w:rFonts w:eastAsiaTheme="minorHAnsi"/>
        </w:rPr>
        <w:t>,</w:t>
      </w:r>
      <w:r w:rsidR="006F4FB8">
        <w:rPr>
          <w:rFonts w:eastAsiaTheme="minorHAnsi"/>
        </w:rPr>
        <w:t xml:space="preserve"> and changes in program delivery mechanisms. </w:t>
      </w:r>
      <w:r w:rsidR="00A37C2D">
        <w:rPr>
          <w:rFonts w:eastAsiaTheme="minorHAnsi"/>
        </w:rPr>
        <w:t xml:space="preserve"> </w:t>
      </w:r>
      <w:r w:rsidR="006F4FB8">
        <w:rPr>
          <w:rFonts w:eastAsiaTheme="minorHAnsi"/>
        </w:rPr>
        <w:t>Accordingly</w:t>
      </w:r>
      <w:r w:rsidR="00A37C2D">
        <w:rPr>
          <w:rFonts w:eastAsiaTheme="minorHAnsi"/>
        </w:rPr>
        <w:t>,</w:t>
      </w:r>
      <w:r w:rsidR="00E72E6C">
        <w:rPr>
          <w:rFonts w:eastAsiaTheme="minorHAnsi"/>
        </w:rPr>
        <w:t xml:space="preserve"> the Team</w:t>
      </w:r>
      <w:r w:rsidR="006F4FB8">
        <w:rPr>
          <w:rFonts w:eastAsiaTheme="minorHAnsi"/>
        </w:rPr>
        <w:t xml:space="preserve"> recommend</w:t>
      </w:r>
      <w:r w:rsidR="00E72E6C">
        <w:rPr>
          <w:rFonts w:eastAsiaTheme="minorHAnsi"/>
        </w:rPr>
        <w:t>s</w:t>
      </w:r>
      <w:r w:rsidR="006F4FB8">
        <w:rPr>
          <w:rFonts w:eastAsiaTheme="minorHAnsi"/>
        </w:rPr>
        <w:t xml:space="preserve"> use of the 2006-08 NTGR values as shown in </w:t>
      </w:r>
      <w:r>
        <w:rPr>
          <w:rFonts w:eastAsiaTheme="minorHAnsi"/>
        </w:rPr>
        <w:fldChar w:fldCharType="begin"/>
      </w:r>
      <w:r w:rsidR="00A37C2D">
        <w:rPr>
          <w:rFonts w:eastAsiaTheme="minorHAnsi"/>
        </w:rPr>
        <w:instrText xml:space="preserve"> REF _Ref306174007 </w:instrText>
      </w:r>
      <w:r>
        <w:rPr>
          <w:rFonts w:eastAsiaTheme="minorHAnsi"/>
        </w:rPr>
        <w:fldChar w:fldCharType="separate"/>
      </w:r>
      <w:r w:rsidR="008D6E8B">
        <w:t xml:space="preserve">Table </w:t>
      </w:r>
      <w:r w:rsidR="008D6E8B">
        <w:rPr>
          <w:noProof/>
        </w:rPr>
        <w:t>13</w:t>
      </w:r>
      <w:r w:rsidR="008D6E8B">
        <w:noBreakHyphen/>
      </w:r>
      <w:r w:rsidR="008D6E8B">
        <w:rPr>
          <w:noProof/>
        </w:rPr>
        <w:t>4</w:t>
      </w:r>
      <w:r>
        <w:rPr>
          <w:rFonts w:eastAsiaTheme="minorHAnsi"/>
        </w:rPr>
        <w:fldChar w:fldCharType="end"/>
      </w:r>
      <w:r w:rsidR="006F4FB8">
        <w:rPr>
          <w:rFonts w:eastAsiaTheme="minorHAnsi"/>
        </w:rPr>
        <w:t xml:space="preserve"> below.</w:t>
      </w:r>
    </w:p>
    <w:p w:rsidR="00CA62B1" w:rsidRDefault="00A37C2D" w:rsidP="00A37C2D">
      <w:pPr>
        <w:pStyle w:val="Caption"/>
      </w:pPr>
      <w:bookmarkStart w:id="5" w:name="_Ref306174007"/>
      <w:r>
        <w:lastRenderedPageBreak/>
        <w:t xml:space="preserve">Table </w:t>
      </w:r>
      <w:r w:rsidR="00250321">
        <w:fldChar w:fldCharType="begin"/>
      </w:r>
      <w:r w:rsidR="00C51AAF">
        <w:instrText xml:space="preserve"> STYLEREF 1 \s </w:instrText>
      </w:r>
      <w:r w:rsidR="00250321">
        <w:fldChar w:fldCharType="separate"/>
      </w:r>
      <w:r w:rsidR="008D6E8B">
        <w:rPr>
          <w:noProof/>
        </w:rPr>
        <w:t>13</w:t>
      </w:r>
      <w:r w:rsidR="00250321">
        <w:fldChar w:fldCharType="end"/>
      </w:r>
      <w:r w:rsidR="007D6C1A">
        <w:noBreakHyphen/>
      </w:r>
      <w:r w:rsidR="00250321">
        <w:fldChar w:fldCharType="begin"/>
      </w:r>
      <w:r w:rsidR="00C51AAF">
        <w:instrText xml:space="preserve"> SEQ Table \* ARABIC \s 1 </w:instrText>
      </w:r>
      <w:r w:rsidR="00250321">
        <w:fldChar w:fldCharType="separate"/>
      </w:r>
      <w:r w:rsidR="008D6E8B">
        <w:rPr>
          <w:noProof/>
        </w:rPr>
        <w:t>4</w:t>
      </w:r>
      <w:r w:rsidR="00250321">
        <w:fldChar w:fldCharType="end"/>
      </w:r>
      <w:bookmarkEnd w:id="5"/>
      <w:r w:rsidR="00CA62B1">
        <w:t>:</w:t>
      </w:r>
      <w:r>
        <w:t xml:space="preserve"> </w:t>
      </w:r>
      <w:r w:rsidR="00CA62B1">
        <w:t xml:space="preserve"> Recommended NTGR by Measure and Delivery Method</w:t>
      </w:r>
    </w:p>
    <w:tbl>
      <w:tblPr>
        <w:tblStyle w:val="ItronBasic"/>
        <w:tblW w:w="9565" w:type="dxa"/>
        <w:tblLayout w:type="fixed"/>
        <w:tblCellMar>
          <w:left w:w="115" w:type="dxa"/>
          <w:right w:w="115" w:type="dxa"/>
        </w:tblCellMar>
        <w:tblLook w:val="04A0"/>
      </w:tblPr>
      <w:tblGrid>
        <w:gridCol w:w="1375"/>
        <w:gridCol w:w="1530"/>
        <w:gridCol w:w="1260"/>
        <w:gridCol w:w="1594"/>
        <w:gridCol w:w="1106"/>
        <w:gridCol w:w="1530"/>
        <w:gridCol w:w="1170"/>
      </w:tblGrid>
      <w:tr w:rsidR="009C00A1" w:rsidRPr="009C00A1" w:rsidTr="001E53B3">
        <w:trPr>
          <w:cnfStyle w:val="100000000000"/>
          <w:cantSplit/>
        </w:trPr>
        <w:tc>
          <w:tcPr>
            <w:tcW w:w="1375" w:type="dxa"/>
            <w:shd w:val="pct20" w:color="auto" w:fill="auto"/>
            <w:vAlign w:val="bottom"/>
          </w:tcPr>
          <w:p w:rsidR="00CA62B1" w:rsidRPr="009C00A1" w:rsidRDefault="00CA62B1" w:rsidP="00CD7ECA">
            <w:pPr>
              <w:keepNext/>
              <w:keepLines/>
              <w:spacing w:before="40" w:after="40"/>
              <w:rPr>
                <w:rFonts w:eastAsiaTheme="minorHAnsi"/>
                <w:sz w:val="20"/>
                <w:szCs w:val="20"/>
              </w:rPr>
            </w:pPr>
            <w:r w:rsidRPr="009C00A1">
              <w:rPr>
                <w:rFonts w:eastAsiaTheme="minorHAnsi"/>
                <w:sz w:val="20"/>
                <w:szCs w:val="20"/>
              </w:rPr>
              <w:t>EEM</w:t>
            </w:r>
          </w:p>
        </w:tc>
        <w:tc>
          <w:tcPr>
            <w:tcW w:w="1530"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EEM </w:t>
            </w:r>
            <w:r w:rsidR="009C00A1" w:rsidRPr="009C00A1">
              <w:rPr>
                <w:rFonts w:eastAsiaTheme="minorHAnsi"/>
                <w:sz w:val="20"/>
                <w:szCs w:val="20"/>
              </w:rPr>
              <w:t>Characteristics</w:t>
            </w:r>
          </w:p>
        </w:tc>
        <w:tc>
          <w:tcPr>
            <w:tcW w:w="1260"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Delivery </w:t>
            </w:r>
            <w:r w:rsidR="009C00A1" w:rsidRPr="009C00A1">
              <w:rPr>
                <w:rFonts w:eastAsiaTheme="minorHAnsi"/>
                <w:sz w:val="20"/>
                <w:szCs w:val="20"/>
              </w:rPr>
              <w:t>Mechanism</w:t>
            </w:r>
          </w:p>
        </w:tc>
        <w:tc>
          <w:tcPr>
            <w:tcW w:w="1594"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Applicable </w:t>
            </w:r>
            <w:r w:rsidR="009C00A1" w:rsidRPr="009C00A1">
              <w:rPr>
                <w:rFonts w:eastAsiaTheme="minorHAnsi"/>
                <w:sz w:val="20"/>
                <w:szCs w:val="20"/>
              </w:rPr>
              <w:t xml:space="preserve">Sector </w:t>
            </w:r>
            <w:r w:rsidRPr="009C00A1">
              <w:rPr>
                <w:rFonts w:eastAsiaTheme="minorHAnsi"/>
                <w:sz w:val="20"/>
                <w:szCs w:val="20"/>
              </w:rPr>
              <w:t xml:space="preserve">and </w:t>
            </w:r>
            <w:r w:rsidR="009C00A1" w:rsidRPr="009C00A1">
              <w:rPr>
                <w:rFonts w:eastAsiaTheme="minorHAnsi"/>
                <w:sz w:val="20"/>
                <w:szCs w:val="20"/>
              </w:rPr>
              <w:t>Building Types</w:t>
            </w:r>
          </w:p>
        </w:tc>
        <w:tc>
          <w:tcPr>
            <w:tcW w:w="1106"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Utility Specific or </w:t>
            </w:r>
            <w:r w:rsidR="009C00A1" w:rsidRPr="009C00A1">
              <w:rPr>
                <w:rFonts w:eastAsiaTheme="minorHAnsi"/>
                <w:sz w:val="20"/>
                <w:szCs w:val="20"/>
              </w:rPr>
              <w:t xml:space="preserve">Statewide </w:t>
            </w:r>
            <w:r w:rsidRPr="009C00A1">
              <w:rPr>
                <w:rFonts w:eastAsiaTheme="minorHAnsi"/>
                <w:sz w:val="20"/>
                <w:szCs w:val="20"/>
              </w:rPr>
              <w:t>NTGR</w:t>
            </w:r>
          </w:p>
        </w:tc>
        <w:tc>
          <w:tcPr>
            <w:tcW w:w="1530"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Recommended NTGR </w:t>
            </w:r>
            <w:r w:rsidR="009C00A1" w:rsidRPr="009C00A1">
              <w:rPr>
                <w:rFonts w:eastAsiaTheme="minorHAnsi"/>
                <w:sz w:val="20"/>
                <w:szCs w:val="20"/>
              </w:rPr>
              <w:t>Value</w:t>
            </w:r>
          </w:p>
        </w:tc>
        <w:tc>
          <w:tcPr>
            <w:tcW w:w="1170" w:type="dxa"/>
            <w:shd w:val="pct20" w:color="auto" w:fill="auto"/>
            <w:vAlign w:val="bottom"/>
          </w:tcPr>
          <w:p w:rsidR="00CA62B1" w:rsidRPr="009C00A1" w:rsidRDefault="00CA62B1" w:rsidP="00CD7ECA">
            <w:pPr>
              <w:keepNext/>
              <w:keepLines/>
              <w:spacing w:before="40" w:after="40"/>
              <w:jc w:val="center"/>
              <w:rPr>
                <w:rFonts w:eastAsiaTheme="minorHAnsi"/>
                <w:sz w:val="20"/>
                <w:szCs w:val="20"/>
              </w:rPr>
            </w:pPr>
            <w:r w:rsidRPr="009C00A1">
              <w:rPr>
                <w:rFonts w:eastAsiaTheme="minorHAnsi"/>
                <w:sz w:val="20"/>
                <w:szCs w:val="20"/>
              </w:rPr>
              <w:t xml:space="preserve">Current DEER NTGR </w:t>
            </w:r>
            <w:r w:rsidR="009C00A1" w:rsidRPr="009C00A1">
              <w:rPr>
                <w:rFonts w:eastAsiaTheme="minorHAnsi"/>
                <w:sz w:val="20"/>
                <w:szCs w:val="20"/>
              </w:rPr>
              <w:t>Value</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Faucet Aerators</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NA</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Direct Install</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Single Family</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Statewide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0.59</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0.85 (default for HTR)</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Faucet Aerators</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NA</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Direct Install</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Multifamily</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Statewide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0.65</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0.85 (default for HTR)</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Low Flow Showerheads</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Flow less than 1.5 gallons per minute</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Direct Install</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Multifamily</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SDGE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0.72</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0.85 (default for HTR)</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Low Flow Showerheads</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Flow less than 1.5 gallons per minute</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Direct Install</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Multifamily</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SCG</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0.70</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0.85 (default for HTR)</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Low Flow Showerheads</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Flow less than 1.5 gallons per minute</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Direct Install</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Single Family</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SDGE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0.68</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0.85 (default for HTR)</w:t>
            </w:r>
          </w:p>
        </w:tc>
      </w:tr>
      <w:tr w:rsidR="00E939AD" w:rsidRPr="009C00A1" w:rsidTr="001E53B3">
        <w:trPr>
          <w:cantSplit/>
        </w:trPr>
        <w:tc>
          <w:tcPr>
            <w:tcW w:w="1375" w:type="dxa"/>
            <w:vAlign w:val="center"/>
          </w:tcPr>
          <w:p w:rsidR="00E939AD" w:rsidRPr="009C00A1" w:rsidRDefault="00E939AD" w:rsidP="00E332A9">
            <w:pPr>
              <w:keepNext/>
              <w:keepLines/>
              <w:spacing w:before="40" w:after="40"/>
              <w:rPr>
                <w:sz w:val="20"/>
                <w:szCs w:val="20"/>
              </w:rPr>
            </w:pPr>
            <w:r w:rsidRPr="009C00A1">
              <w:rPr>
                <w:sz w:val="20"/>
                <w:szCs w:val="20"/>
              </w:rPr>
              <w:t>Low Flow Showerheads</w:t>
            </w:r>
          </w:p>
        </w:tc>
        <w:tc>
          <w:tcPr>
            <w:tcW w:w="1530" w:type="dxa"/>
            <w:vAlign w:val="center"/>
          </w:tcPr>
          <w:p w:rsidR="00E939AD" w:rsidRPr="009C00A1" w:rsidRDefault="00E939AD" w:rsidP="00E332A9">
            <w:pPr>
              <w:keepNext/>
              <w:keepLines/>
              <w:spacing w:before="40" w:after="40"/>
              <w:rPr>
                <w:sz w:val="20"/>
                <w:szCs w:val="20"/>
              </w:rPr>
            </w:pPr>
            <w:r w:rsidRPr="009C00A1">
              <w:rPr>
                <w:sz w:val="20"/>
                <w:szCs w:val="20"/>
              </w:rPr>
              <w:t>Flow less than 1.5 gallons per minute</w:t>
            </w:r>
          </w:p>
        </w:tc>
        <w:tc>
          <w:tcPr>
            <w:tcW w:w="1260" w:type="dxa"/>
            <w:vAlign w:val="center"/>
          </w:tcPr>
          <w:p w:rsidR="00E939AD" w:rsidRPr="009C00A1" w:rsidRDefault="00E939AD" w:rsidP="00E332A9">
            <w:pPr>
              <w:keepNext/>
              <w:keepLines/>
              <w:spacing w:before="40" w:after="40"/>
              <w:rPr>
                <w:sz w:val="20"/>
                <w:szCs w:val="20"/>
              </w:rPr>
            </w:pPr>
            <w:r w:rsidRPr="009C00A1">
              <w:rPr>
                <w:sz w:val="20"/>
                <w:szCs w:val="20"/>
              </w:rPr>
              <w:t>Direct Install</w:t>
            </w:r>
          </w:p>
        </w:tc>
        <w:tc>
          <w:tcPr>
            <w:tcW w:w="1594" w:type="dxa"/>
            <w:vAlign w:val="center"/>
          </w:tcPr>
          <w:p w:rsidR="00E939AD" w:rsidRPr="009C00A1" w:rsidRDefault="00E939AD" w:rsidP="00CD7ECA">
            <w:pPr>
              <w:keepNext/>
              <w:keepLines/>
              <w:spacing w:before="40" w:after="40"/>
              <w:rPr>
                <w:sz w:val="20"/>
                <w:szCs w:val="20"/>
              </w:rPr>
            </w:pPr>
            <w:r>
              <w:rPr>
                <w:sz w:val="20"/>
                <w:szCs w:val="20"/>
              </w:rPr>
              <w:t>All Re</w:t>
            </w:r>
            <w:r w:rsidRPr="009C00A1">
              <w:rPr>
                <w:sz w:val="20"/>
                <w:szCs w:val="20"/>
              </w:rPr>
              <w:t xml:space="preserve"> All Residential building types</w:t>
            </w:r>
          </w:p>
        </w:tc>
        <w:tc>
          <w:tcPr>
            <w:tcW w:w="1106" w:type="dxa"/>
            <w:vAlign w:val="center"/>
          </w:tcPr>
          <w:p w:rsidR="00E939AD" w:rsidRPr="009C00A1" w:rsidRDefault="00E939AD" w:rsidP="00CD7ECA">
            <w:pPr>
              <w:keepNext/>
              <w:keepLines/>
              <w:spacing w:before="40" w:after="40"/>
              <w:rPr>
                <w:sz w:val="20"/>
                <w:szCs w:val="20"/>
              </w:rPr>
            </w:pPr>
            <w:r>
              <w:rPr>
                <w:sz w:val="20"/>
                <w:szCs w:val="20"/>
              </w:rPr>
              <w:t>Statewide</w:t>
            </w:r>
          </w:p>
        </w:tc>
        <w:tc>
          <w:tcPr>
            <w:tcW w:w="1530" w:type="dxa"/>
            <w:vAlign w:val="center"/>
          </w:tcPr>
          <w:p w:rsidR="00E939AD" w:rsidRPr="009C00A1" w:rsidRDefault="00E939AD" w:rsidP="00CD7ECA">
            <w:pPr>
              <w:keepNext/>
              <w:keepLines/>
              <w:spacing w:before="40" w:after="40"/>
              <w:jc w:val="center"/>
              <w:rPr>
                <w:sz w:val="20"/>
                <w:szCs w:val="20"/>
              </w:rPr>
            </w:pPr>
            <w:r>
              <w:rPr>
                <w:sz w:val="20"/>
                <w:szCs w:val="20"/>
              </w:rPr>
              <w:t>0.70</w:t>
            </w:r>
          </w:p>
        </w:tc>
        <w:tc>
          <w:tcPr>
            <w:tcW w:w="1170" w:type="dxa"/>
            <w:vAlign w:val="center"/>
          </w:tcPr>
          <w:p w:rsidR="00E939AD" w:rsidRPr="009C00A1" w:rsidRDefault="00E939AD" w:rsidP="00CD7ECA">
            <w:pPr>
              <w:keepNext/>
              <w:keepLines/>
              <w:spacing w:before="40" w:after="40"/>
              <w:jc w:val="center"/>
              <w:rPr>
                <w:sz w:val="20"/>
                <w:szCs w:val="20"/>
              </w:rPr>
            </w:pPr>
            <w:r>
              <w:rPr>
                <w:sz w:val="20"/>
                <w:szCs w:val="20"/>
              </w:rPr>
              <w:t>0.85</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Residential Gas Storage Instantaneous Water Heater</w:t>
            </w:r>
          </w:p>
        </w:tc>
        <w:tc>
          <w:tcPr>
            <w:tcW w:w="1530" w:type="dxa"/>
            <w:vAlign w:val="center"/>
          </w:tcPr>
          <w:p w:rsidR="00CA62B1" w:rsidRPr="009C00A1" w:rsidRDefault="00CA62B1" w:rsidP="00CD7ECA">
            <w:pPr>
              <w:keepNext/>
              <w:keepLines/>
              <w:spacing w:before="40" w:after="40"/>
              <w:rPr>
                <w:sz w:val="20"/>
                <w:szCs w:val="20"/>
              </w:rPr>
            </w:pPr>
            <w:r w:rsidRPr="009C00A1">
              <w:rPr>
                <w:sz w:val="20"/>
                <w:szCs w:val="20"/>
              </w:rPr>
              <w:t xml:space="preserve">Energy factor &gt; 0.62 </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Downstream Prescriptive Rebate</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All Residential building types</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SDG&amp;E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0.23</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0.58</w:t>
            </w:r>
          </w:p>
        </w:tc>
      </w:tr>
      <w:tr w:rsidR="009C00A1" w:rsidRPr="009C00A1" w:rsidTr="001E53B3">
        <w:trPr>
          <w:cantSplit/>
        </w:trPr>
        <w:tc>
          <w:tcPr>
            <w:tcW w:w="1375" w:type="dxa"/>
            <w:vAlign w:val="center"/>
          </w:tcPr>
          <w:p w:rsidR="00CA62B1" w:rsidRPr="009C00A1" w:rsidRDefault="00CA62B1" w:rsidP="00CD7ECA">
            <w:pPr>
              <w:keepNext/>
              <w:keepLines/>
              <w:spacing w:before="40" w:after="40"/>
              <w:rPr>
                <w:sz w:val="20"/>
                <w:szCs w:val="20"/>
              </w:rPr>
            </w:pPr>
            <w:r w:rsidRPr="009C00A1">
              <w:rPr>
                <w:sz w:val="20"/>
                <w:szCs w:val="20"/>
              </w:rPr>
              <w:t>Residential Gas Storage Instantaneous Water Heater</w:t>
            </w:r>
          </w:p>
        </w:tc>
        <w:tc>
          <w:tcPr>
            <w:tcW w:w="1530" w:type="dxa"/>
            <w:vAlign w:val="center"/>
          </w:tcPr>
          <w:p w:rsidR="00CA62B1" w:rsidRPr="009C00A1" w:rsidRDefault="005759FC" w:rsidP="00CD7ECA">
            <w:pPr>
              <w:keepNext/>
              <w:keepLines/>
              <w:spacing w:before="40" w:after="40"/>
              <w:rPr>
                <w:sz w:val="20"/>
                <w:szCs w:val="20"/>
              </w:rPr>
            </w:pPr>
            <w:r>
              <w:rPr>
                <w:sz w:val="20"/>
                <w:szCs w:val="20"/>
              </w:rPr>
              <w:t xml:space="preserve">Energy factor &gt; 0.62 </w:t>
            </w:r>
            <w:r w:rsidR="00CA62B1" w:rsidRPr="009C00A1">
              <w:rPr>
                <w:sz w:val="20"/>
                <w:szCs w:val="20"/>
              </w:rPr>
              <w:t xml:space="preserve"> </w:t>
            </w:r>
          </w:p>
        </w:tc>
        <w:tc>
          <w:tcPr>
            <w:tcW w:w="1260" w:type="dxa"/>
            <w:vAlign w:val="center"/>
          </w:tcPr>
          <w:p w:rsidR="00CA62B1" w:rsidRPr="009C00A1" w:rsidRDefault="00CA62B1" w:rsidP="00CD7ECA">
            <w:pPr>
              <w:keepNext/>
              <w:keepLines/>
              <w:spacing w:before="40" w:after="40"/>
              <w:rPr>
                <w:sz w:val="20"/>
                <w:szCs w:val="20"/>
              </w:rPr>
            </w:pPr>
            <w:r w:rsidRPr="009C00A1">
              <w:rPr>
                <w:sz w:val="20"/>
                <w:szCs w:val="20"/>
              </w:rPr>
              <w:t>Downstream Prescriptive Rebate</w:t>
            </w:r>
          </w:p>
        </w:tc>
        <w:tc>
          <w:tcPr>
            <w:tcW w:w="1594" w:type="dxa"/>
            <w:vAlign w:val="center"/>
          </w:tcPr>
          <w:p w:rsidR="00CA62B1" w:rsidRPr="009C00A1" w:rsidRDefault="00CA62B1" w:rsidP="00CD7ECA">
            <w:pPr>
              <w:keepNext/>
              <w:keepLines/>
              <w:spacing w:before="40" w:after="40"/>
              <w:rPr>
                <w:sz w:val="20"/>
                <w:szCs w:val="20"/>
              </w:rPr>
            </w:pPr>
            <w:r w:rsidRPr="009C00A1">
              <w:rPr>
                <w:sz w:val="20"/>
                <w:szCs w:val="20"/>
              </w:rPr>
              <w:t>All Residential building types</w:t>
            </w:r>
          </w:p>
        </w:tc>
        <w:tc>
          <w:tcPr>
            <w:tcW w:w="1106" w:type="dxa"/>
            <w:vAlign w:val="center"/>
          </w:tcPr>
          <w:p w:rsidR="00CA62B1" w:rsidRPr="009C00A1" w:rsidRDefault="00CA62B1" w:rsidP="00CD7ECA">
            <w:pPr>
              <w:keepNext/>
              <w:keepLines/>
              <w:spacing w:before="40" w:after="40"/>
              <w:rPr>
                <w:sz w:val="20"/>
                <w:szCs w:val="20"/>
              </w:rPr>
            </w:pPr>
            <w:r w:rsidRPr="009C00A1">
              <w:rPr>
                <w:sz w:val="20"/>
                <w:szCs w:val="20"/>
              </w:rPr>
              <w:t>PG&amp;E</w:t>
            </w:r>
          </w:p>
        </w:tc>
        <w:tc>
          <w:tcPr>
            <w:tcW w:w="1530" w:type="dxa"/>
            <w:vAlign w:val="center"/>
          </w:tcPr>
          <w:p w:rsidR="00CA62B1" w:rsidRPr="009C00A1" w:rsidRDefault="00CA62B1" w:rsidP="00CD7ECA">
            <w:pPr>
              <w:keepNext/>
              <w:keepLines/>
              <w:spacing w:before="40" w:after="40"/>
              <w:jc w:val="center"/>
              <w:rPr>
                <w:sz w:val="20"/>
                <w:szCs w:val="20"/>
              </w:rPr>
            </w:pPr>
            <w:r w:rsidRPr="009C00A1">
              <w:rPr>
                <w:sz w:val="20"/>
                <w:szCs w:val="20"/>
              </w:rPr>
              <w:t>0.18</w:t>
            </w:r>
          </w:p>
        </w:tc>
        <w:tc>
          <w:tcPr>
            <w:tcW w:w="1170" w:type="dxa"/>
            <w:vAlign w:val="center"/>
          </w:tcPr>
          <w:p w:rsidR="00CA62B1" w:rsidRPr="009C00A1" w:rsidRDefault="00CA62B1" w:rsidP="00CD7ECA">
            <w:pPr>
              <w:keepNext/>
              <w:keepLines/>
              <w:spacing w:before="40" w:after="40"/>
              <w:jc w:val="center"/>
              <w:rPr>
                <w:sz w:val="20"/>
                <w:szCs w:val="20"/>
              </w:rPr>
            </w:pPr>
            <w:r w:rsidRPr="009C00A1">
              <w:rPr>
                <w:sz w:val="20"/>
                <w:szCs w:val="20"/>
              </w:rPr>
              <w:t>0.58</w:t>
            </w:r>
          </w:p>
        </w:tc>
      </w:tr>
    </w:tbl>
    <w:p w:rsidR="00CA62B1" w:rsidRDefault="00CA62B1" w:rsidP="009C00A1">
      <w:pPr>
        <w:pStyle w:val="Halfline"/>
        <w:rPr>
          <w:rFonts w:eastAsiaTheme="minorHAnsi"/>
        </w:rPr>
      </w:pPr>
    </w:p>
    <w:p w:rsidR="006F4FB8" w:rsidRDefault="006F4FB8" w:rsidP="00A37C2D">
      <w:pPr>
        <w:rPr>
          <w:rFonts w:eastAsiaTheme="minorHAnsi"/>
        </w:rPr>
      </w:pPr>
      <w:r>
        <w:rPr>
          <w:rFonts w:eastAsiaTheme="minorHAnsi"/>
        </w:rPr>
        <w:t xml:space="preserve">The most significant changes in NTGR values between the current DEER and the evaluation findings were for the residential gas water heaters.  For these water heating systems, NTGR values decreased by more than 50% for both utilities (from 0.59 to 0.23/0.18 for PGE and SDGE respectively). </w:t>
      </w:r>
      <w:r w:rsidR="00A37C2D">
        <w:rPr>
          <w:rFonts w:eastAsiaTheme="minorHAnsi"/>
        </w:rPr>
        <w:t xml:space="preserve"> </w:t>
      </w:r>
      <w:r w:rsidR="000C152B">
        <w:rPr>
          <w:rFonts w:eastAsiaTheme="minorHAnsi"/>
        </w:rPr>
        <w:t xml:space="preserve">The Team </w:t>
      </w:r>
      <w:r>
        <w:rPr>
          <w:rFonts w:eastAsiaTheme="minorHAnsi"/>
        </w:rPr>
        <w:t xml:space="preserve">reviewed the survey design for 2006-08 to determine if there were any anomalies in design or weighting that could help explain this large and unexplained drop. </w:t>
      </w:r>
      <w:r w:rsidR="00A37C2D">
        <w:rPr>
          <w:rFonts w:eastAsiaTheme="minorHAnsi"/>
        </w:rPr>
        <w:t xml:space="preserve"> </w:t>
      </w:r>
      <w:r>
        <w:rPr>
          <w:rFonts w:eastAsiaTheme="minorHAnsi"/>
        </w:rPr>
        <w:t>No obvious flaws in the survey design or questionnaires were discovered</w:t>
      </w:r>
      <w:r w:rsidR="00320FDD">
        <w:rPr>
          <w:rFonts w:eastAsiaTheme="minorHAnsi"/>
        </w:rPr>
        <w:t xml:space="preserve">. </w:t>
      </w:r>
      <w:r w:rsidR="00251432">
        <w:rPr>
          <w:rFonts w:eastAsiaTheme="minorHAnsi"/>
        </w:rPr>
        <w:t>More details on the methods used and recommendations from these evaluations can be found in Appendix A</w:t>
      </w:r>
      <w:r w:rsidR="006E719F">
        <w:rPr>
          <w:rFonts w:eastAsiaTheme="minorHAnsi"/>
        </w:rPr>
        <w:t>-6</w:t>
      </w:r>
      <w:r w:rsidR="00251432">
        <w:rPr>
          <w:rFonts w:eastAsiaTheme="minorHAnsi"/>
        </w:rPr>
        <w:t>.</w:t>
      </w:r>
    </w:p>
    <w:p w:rsidR="00E939AD" w:rsidRDefault="00E939AD" w:rsidP="00A37C2D">
      <w:pPr>
        <w:rPr>
          <w:rFonts w:eastAsiaTheme="minorHAnsi"/>
        </w:rPr>
      </w:pPr>
      <w:r>
        <w:rPr>
          <w:rFonts w:eastAsiaTheme="minorHAnsi"/>
        </w:rPr>
        <w:t>The changes in NTGR observed for faucet aerators and low flow showerheads were primarily b</w:t>
      </w:r>
      <w:r w:rsidR="00D97BDF">
        <w:rPr>
          <w:rFonts w:eastAsiaTheme="minorHAnsi"/>
        </w:rPr>
        <w:t>e</w:t>
      </w:r>
      <w:r>
        <w:rPr>
          <w:rFonts w:eastAsiaTheme="minorHAnsi"/>
        </w:rPr>
        <w:t>cause the current DEER estimate of 0.85 was a default value while the 2006-08 values are based on a self report analysi</w:t>
      </w:r>
      <w:r w:rsidR="00D97BDF">
        <w:rPr>
          <w:rFonts w:eastAsiaTheme="minorHAnsi"/>
        </w:rPr>
        <w:t>s. The differences in estimate</w:t>
      </w:r>
      <w:r>
        <w:rPr>
          <w:rFonts w:eastAsiaTheme="minorHAnsi"/>
        </w:rPr>
        <w:t>d NTGR for low flow showerhe</w:t>
      </w:r>
      <w:r w:rsidR="00143F57">
        <w:rPr>
          <w:rFonts w:eastAsiaTheme="minorHAnsi"/>
        </w:rPr>
        <w:t xml:space="preserve">ads of 0/72, </w:t>
      </w:r>
      <w:r>
        <w:rPr>
          <w:rFonts w:eastAsiaTheme="minorHAnsi"/>
        </w:rPr>
        <w:t>0.70</w:t>
      </w:r>
      <w:r w:rsidR="00143F57">
        <w:rPr>
          <w:rFonts w:eastAsiaTheme="minorHAnsi"/>
        </w:rPr>
        <w:t>,</w:t>
      </w:r>
      <w:r>
        <w:rPr>
          <w:rFonts w:eastAsiaTheme="minorHAnsi"/>
        </w:rPr>
        <w:t xml:space="preserve"> and 0.68 for Multifamily and Single family units are not statistically </w:t>
      </w:r>
      <w:r w:rsidR="001E53B3">
        <w:rPr>
          <w:rFonts w:eastAsiaTheme="minorHAnsi"/>
        </w:rPr>
        <w:t xml:space="preserve">significant. </w:t>
      </w:r>
      <w:r>
        <w:rPr>
          <w:rFonts w:eastAsiaTheme="minorHAnsi"/>
        </w:rPr>
        <w:t xml:space="preserve">Thus </w:t>
      </w:r>
      <w:r w:rsidR="000C152B">
        <w:rPr>
          <w:rFonts w:eastAsiaTheme="minorHAnsi"/>
        </w:rPr>
        <w:lastRenderedPageBreak/>
        <w:t xml:space="preserve">the Team </w:t>
      </w:r>
      <w:r>
        <w:rPr>
          <w:rFonts w:eastAsiaTheme="minorHAnsi"/>
        </w:rPr>
        <w:t>recommend</w:t>
      </w:r>
      <w:r w:rsidR="000C152B">
        <w:rPr>
          <w:rFonts w:eastAsiaTheme="minorHAnsi"/>
        </w:rPr>
        <w:t>s</w:t>
      </w:r>
      <w:r>
        <w:rPr>
          <w:rFonts w:eastAsiaTheme="minorHAnsi"/>
        </w:rPr>
        <w:t xml:space="preserve"> the use of a statewide “average” NTGR value of 0.70 for all residential building types where low flow showerheads are installed. </w:t>
      </w:r>
    </w:p>
    <w:p w:rsidR="002414BE" w:rsidRDefault="006F4FB8" w:rsidP="00E72E6C">
      <w:pPr>
        <w:rPr>
          <w:rFonts w:eastAsiaTheme="minorHAnsi"/>
        </w:rPr>
      </w:pPr>
      <w:r>
        <w:rPr>
          <w:rFonts w:eastAsiaTheme="minorHAnsi"/>
        </w:rPr>
        <w:t>The 2006-08 study</w:t>
      </w:r>
      <w:r w:rsidR="00E939AD">
        <w:rPr>
          <w:rFonts w:eastAsiaTheme="minorHAnsi"/>
        </w:rPr>
        <w:t xml:space="preserve"> for water heating systems</w:t>
      </w:r>
      <w:r>
        <w:rPr>
          <w:rFonts w:eastAsiaTheme="minorHAnsi"/>
        </w:rPr>
        <w:t xml:space="preserve"> contained NTGR estimates for each of the three program years that gradually declined from 2006 to 2008 by roughly 1% per year</w:t>
      </w:r>
      <w:r w:rsidR="00E939AD">
        <w:rPr>
          <w:rFonts w:eastAsiaTheme="minorHAnsi"/>
        </w:rPr>
        <w:t>. This slow decline suggests</w:t>
      </w:r>
      <w:r>
        <w:rPr>
          <w:rFonts w:eastAsiaTheme="minorHAnsi"/>
        </w:rPr>
        <w:t xml:space="preserve"> a stable market where a gradually larger percentage of customers were adopting efficient gas water he</w:t>
      </w:r>
      <w:r w:rsidR="00E939AD">
        <w:rPr>
          <w:rFonts w:eastAsiaTheme="minorHAnsi"/>
        </w:rPr>
        <w:t>ating systems with Energy Factors</w:t>
      </w:r>
      <w:r>
        <w:rPr>
          <w:rFonts w:eastAsiaTheme="minorHAnsi"/>
        </w:rPr>
        <w:t xml:space="preserve"> above 0.62 in the absence of the program. </w:t>
      </w:r>
      <w:r w:rsidR="00A37C2D">
        <w:rPr>
          <w:rFonts w:eastAsiaTheme="minorHAnsi"/>
        </w:rPr>
        <w:t xml:space="preserve"> </w:t>
      </w:r>
      <w:r>
        <w:rPr>
          <w:rFonts w:eastAsiaTheme="minorHAnsi"/>
        </w:rPr>
        <w:t xml:space="preserve">The most obvious potential explanation for a significant drop in the NTGR value between 2004 and 2008 would be the introduction of a new efficiency standard for these systems in the period right before the program was launched in 2005. </w:t>
      </w:r>
      <w:r w:rsidR="00A37C2D">
        <w:rPr>
          <w:rFonts w:eastAsiaTheme="minorHAnsi"/>
        </w:rPr>
        <w:t xml:space="preserve"> </w:t>
      </w:r>
      <w:r>
        <w:rPr>
          <w:rFonts w:eastAsiaTheme="minorHAnsi"/>
        </w:rPr>
        <w:t xml:space="preserve">Another possible explanation would be if the rebate level had been kept the same at 0.62 </w:t>
      </w:r>
      <w:r w:rsidR="002414BE">
        <w:rPr>
          <w:rFonts w:eastAsiaTheme="minorHAnsi"/>
        </w:rPr>
        <w:t xml:space="preserve">Energy factor level </w:t>
      </w:r>
      <w:r>
        <w:rPr>
          <w:rFonts w:eastAsiaTheme="minorHAnsi"/>
        </w:rPr>
        <w:t xml:space="preserve">for many years.  </w:t>
      </w:r>
      <w:r w:rsidR="00E72E6C">
        <w:rPr>
          <w:rFonts w:eastAsiaTheme="minorHAnsi"/>
        </w:rPr>
        <w:t xml:space="preserve"> </w:t>
      </w:r>
    </w:p>
    <w:p w:rsidR="00C51AAF" w:rsidRPr="004F6398" w:rsidRDefault="006F4FB8" w:rsidP="004F6398">
      <w:pPr>
        <w:pStyle w:val="Heading2"/>
      </w:pPr>
      <w:r w:rsidRPr="004F6398">
        <w:rPr>
          <w:rFonts w:eastAsiaTheme="minorHAnsi"/>
        </w:rPr>
        <w:t xml:space="preserve">Factors </w:t>
      </w:r>
      <w:r w:rsidR="003D6C23" w:rsidRPr="004F6398">
        <w:rPr>
          <w:rFonts w:eastAsiaTheme="minorHAnsi"/>
        </w:rPr>
        <w:t>L</w:t>
      </w:r>
      <w:r w:rsidRPr="004F6398">
        <w:rPr>
          <w:rFonts w:eastAsiaTheme="minorHAnsi"/>
        </w:rPr>
        <w:t xml:space="preserve">ikely to </w:t>
      </w:r>
      <w:r w:rsidR="003D6C23" w:rsidRPr="004F6398">
        <w:rPr>
          <w:rFonts w:eastAsiaTheme="minorHAnsi"/>
        </w:rPr>
        <w:t>L</w:t>
      </w:r>
      <w:r w:rsidRPr="004F6398">
        <w:rPr>
          <w:rFonts w:eastAsiaTheme="minorHAnsi"/>
        </w:rPr>
        <w:t xml:space="preserve">ead to </w:t>
      </w:r>
      <w:r w:rsidR="003D6C23" w:rsidRPr="004F6398">
        <w:rPr>
          <w:rFonts w:eastAsiaTheme="minorHAnsi"/>
        </w:rPr>
        <w:t>C</w:t>
      </w:r>
      <w:r w:rsidRPr="004F6398">
        <w:rPr>
          <w:rFonts w:eastAsiaTheme="minorHAnsi"/>
        </w:rPr>
        <w:t xml:space="preserve">hanges in NTGR </w:t>
      </w:r>
      <w:r w:rsidR="003D6C23" w:rsidRPr="004F6398">
        <w:rPr>
          <w:rFonts w:eastAsiaTheme="minorHAnsi"/>
        </w:rPr>
        <w:t>O</w:t>
      </w:r>
      <w:r w:rsidRPr="004F6398">
        <w:rPr>
          <w:rFonts w:eastAsiaTheme="minorHAnsi"/>
        </w:rPr>
        <w:t xml:space="preserve">ver the </w:t>
      </w:r>
      <w:r w:rsidR="003D6C23" w:rsidRPr="004F6398">
        <w:rPr>
          <w:rFonts w:eastAsiaTheme="minorHAnsi"/>
        </w:rPr>
        <w:t>N</w:t>
      </w:r>
      <w:r w:rsidRPr="004F6398">
        <w:rPr>
          <w:rFonts w:eastAsiaTheme="minorHAnsi"/>
        </w:rPr>
        <w:t xml:space="preserve">ext </w:t>
      </w:r>
      <w:r w:rsidR="003D6C23" w:rsidRPr="004F6398">
        <w:rPr>
          <w:rFonts w:eastAsiaTheme="minorHAnsi"/>
        </w:rPr>
        <w:t>T</w:t>
      </w:r>
      <w:r w:rsidRPr="004F6398">
        <w:rPr>
          <w:rFonts w:eastAsiaTheme="minorHAnsi"/>
        </w:rPr>
        <w:t xml:space="preserve">hree </w:t>
      </w:r>
      <w:r w:rsidR="003D6C23" w:rsidRPr="004F6398">
        <w:rPr>
          <w:rFonts w:eastAsiaTheme="minorHAnsi"/>
        </w:rPr>
        <w:t>Y</w:t>
      </w:r>
      <w:r w:rsidRPr="004F6398">
        <w:rPr>
          <w:rFonts w:eastAsiaTheme="minorHAnsi"/>
        </w:rPr>
        <w:t>ears</w:t>
      </w:r>
    </w:p>
    <w:p w:rsidR="006F4FB8" w:rsidRDefault="006F4FB8" w:rsidP="006F4FB8">
      <w:pPr>
        <w:rPr>
          <w:rFonts w:eastAsiaTheme="minorHAnsi"/>
        </w:rPr>
      </w:pPr>
      <w:r>
        <w:rPr>
          <w:rFonts w:eastAsiaTheme="minorHAnsi"/>
        </w:rPr>
        <w:t>The DEER team reviewed the two most recent</w:t>
      </w:r>
      <w:r w:rsidR="00874B38">
        <w:rPr>
          <w:rFonts w:eastAsiaTheme="minorHAnsi"/>
        </w:rPr>
        <w:t xml:space="preserve"> </w:t>
      </w:r>
      <w:r>
        <w:rPr>
          <w:rFonts w:eastAsiaTheme="minorHAnsi"/>
        </w:rPr>
        <w:t>evaluations in California and the overall NTGR literature to identify key factors likely to lead to changes in</w:t>
      </w:r>
      <w:r w:rsidR="00874B38">
        <w:rPr>
          <w:rFonts w:eastAsiaTheme="minorHAnsi"/>
        </w:rPr>
        <w:t xml:space="preserve"> </w:t>
      </w:r>
      <w:r>
        <w:rPr>
          <w:rFonts w:eastAsiaTheme="minorHAnsi"/>
        </w:rPr>
        <w:t xml:space="preserve">NTGR over time for water heating measures. </w:t>
      </w:r>
      <w:r w:rsidR="00A37C2D">
        <w:rPr>
          <w:rFonts w:eastAsiaTheme="minorHAnsi"/>
        </w:rPr>
        <w:t xml:space="preserve"> </w:t>
      </w:r>
      <w:r>
        <w:rPr>
          <w:rFonts w:eastAsiaTheme="minorHAnsi"/>
        </w:rPr>
        <w:t>In the previous DEER update</w:t>
      </w:r>
      <w:r w:rsidR="000C152B">
        <w:rPr>
          <w:rFonts w:eastAsiaTheme="minorHAnsi"/>
        </w:rPr>
        <w:t xml:space="preserve"> factors 1&amp;2 below </w:t>
      </w:r>
      <w:r>
        <w:rPr>
          <w:rFonts w:eastAsiaTheme="minorHAnsi"/>
        </w:rPr>
        <w:t>were identified as having a significant impac</w:t>
      </w:r>
      <w:r w:rsidR="00E72E6C">
        <w:rPr>
          <w:rFonts w:eastAsiaTheme="minorHAnsi"/>
        </w:rPr>
        <w:t>t on NTG;</w:t>
      </w:r>
      <w:r>
        <w:rPr>
          <w:rFonts w:eastAsiaTheme="minorHAnsi"/>
        </w:rPr>
        <w:t xml:space="preserve"> efficiency market share and rebates as a fraction of incremental cost. </w:t>
      </w:r>
      <w:r w:rsidR="007D6C1A">
        <w:rPr>
          <w:rFonts w:eastAsiaTheme="minorHAnsi"/>
        </w:rPr>
        <w:t xml:space="preserve"> </w:t>
      </w:r>
      <w:r>
        <w:rPr>
          <w:rFonts w:eastAsiaTheme="minorHAnsi"/>
        </w:rPr>
        <w:t>In this update we identify and discuss two more factors (3 and 4 below). The four principal factors are:</w:t>
      </w:r>
    </w:p>
    <w:p w:rsidR="006F4FB8" w:rsidRDefault="006F4FB8" w:rsidP="003D6C23">
      <w:pPr>
        <w:pStyle w:val="ListParagraph"/>
        <w:numPr>
          <w:ilvl w:val="0"/>
          <w:numId w:val="44"/>
        </w:numPr>
        <w:spacing w:after="120" w:line="240" w:lineRule="auto"/>
        <w:jc w:val="left"/>
        <w:rPr>
          <w:rFonts w:eastAsiaTheme="minorHAnsi"/>
        </w:rPr>
      </w:pPr>
      <w:r>
        <w:rPr>
          <w:rFonts w:eastAsiaTheme="minorHAnsi"/>
        </w:rPr>
        <w:t>Rate of growth in the market share of more efficient hot water systems or specific measure</w:t>
      </w:r>
      <w:r w:rsidR="007D6C1A">
        <w:rPr>
          <w:rFonts w:eastAsiaTheme="minorHAnsi"/>
        </w:rPr>
        <w:t>s such as low flow showerheads,</w:t>
      </w:r>
    </w:p>
    <w:p w:rsidR="006F4FB8" w:rsidRDefault="006F4FB8" w:rsidP="003D6C23">
      <w:pPr>
        <w:pStyle w:val="ListParagraph"/>
        <w:numPr>
          <w:ilvl w:val="0"/>
          <w:numId w:val="44"/>
        </w:numPr>
        <w:spacing w:after="120" w:line="240" w:lineRule="auto"/>
        <w:jc w:val="left"/>
        <w:rPr>
          <w:rFonts w:eastAsiaTheme="minorHAnsi"/>
        </w:rPr>
      </w:pPr>
      <w:r>
        <w:rPr>
          <w:rFonts w:eastAsiaTheme="minorHAnsi"/>
        </w:rPr>
        <w:t xml:space="preserve">Trend in </w:t>
      </w:r>
      <w:r w:rsidR="007D6C1A">
        <w:rPr>
          <w:rFonts w:eastAsiaTheme="minorHAnsi"/>
        </w:rPr>
        <w:t xml:space="preserve">rebates </w:t>
      </w:r>
      <w:r>
        <w:rPr>
          <w:rFonts w:eastAsiaTheme="minorHAnsi"/>
        </w:rPr>
        <w:t xml:space="preserve">as a share of incremental </w:t>
      </w:r>
      <w:r w:rsidR="007D6C1A">
        <w:rPr>
          <w:rFonts w:eastAsiaTheme="minorHAnsi"/>
        </w:rPr>
        <w:t xml:space="preserve">costs </w:t>
      </w:r>
      <w:r>
        <w:rPr>
          <w:rFonts w:eastAsiaTheme="minorHAnsi"/>
        </w:rPr>
        <w:t>of</w:t>
      </w:r>
      <w:r w:rsidR="00874B38">
        <w:rPr>
          <w:rFonts w:eastAsiaTheme="minorHAnsi"/>
        </w:rPr>
        <w:t xml:space="preserve"> </w:t>
      </w:r>
      <w:r>
        <w:rPr>
          <w:rFonts w:eastAsiaTheme="minorHAnsi"/>
        </w:rPr>
        <w:t>efficient measures</w:t>
      </w:r>
      <w:r w:rsidR="007D6C1A">
        <w:rPr>
          <w:rFonts w:eastAsiaTheme="minorHAnsi"/>
        </w:rPr>
        <w:t>,</w:t>
      </w:r>
    </w:p>
    <w:p w:rsidR="006F4FB8" w:rsidRDefault="006F4FB8" w:rsidP="003D6C23">
      <w:pPr>
        <w:pStyle w:val="ListParagraph"/>
        <w:numPr>
          <w:ilvl w:val="0"/>
          <w:numId w:val="44"/>
        </w:numPr>
        <w:spacing w:after="120" w:line="240" w:lineRule="auto"/>
        <w:jc w:val="left"/>
        <w:rPr>
          <w:rFonts w:eastAsiaTheme="minorHAnsi"/>
        </w:rPr>
      </w:pPr>
      <w:r>
        <w:rPr>
          <w:rFonts w:eastAsiaTheme="minorHAnsi"/>
        </w:rPr>
        <w:t>Changes in the structure of</w:t>
      </w:r>
      <w:r w:rsidR="00874B38">
        <w:rPr>
          <w:rFonts w:eastAsiaTheme="minorHAnsi"/>
        </w:rPr>
        <w:t xml:space="preserve"> </w:t>
      </w:r>
      <w:r>
        <w:rPr>
          <w:rFonts w:eastAsiaTheme="minorHAnsi"/>
        </w:rPr>
        <w:t>the contractor</w:t>
      </w:r>
      <w:r w:rsidR="00874B38">
        <w:rPr>
          <w:rFonts w:eastAsiaTheme="minorHAnsi"/>
        </w:rPr>
        <w:t xml:space="preserve"> </w:t>
      </w:r>
      <w:r>
        <w:rPr>
          <w:rFonts w:eastAsiaTheme="minorHAnsi"/>
        </w:rPr>
        <w:t>service offerings</w:t>
      </w:r>
      <w:r w:rsidR="007D6C1A">
        <w:rPr>
          <w:rFonts w:eastAsiaTheme="minorHAnsi"/>
        </w:rPr>
        <w:t>, and</w:t>
      </w:r>
    </w:p>
    <w:p w:rsidR="006F4FB8" w:rsidRDefault="006F4FB8" w:rsidP="003D6C23">
      <w:pPr>
        <w:pStyle w:val="ListParagraph"/>
        <w:numPr>
          <w:ilvl w:val="0"/>
          <w:numId w:val="44"/>
        </w:numPr>
        <w:spacing w:after="120" w:line="240" w:lineRule="auto"/>
        <w:jc w:val="left"/>
        <w:rPr>
          <w:rFonts w:eastAsiaTheme="minorHAnsi"/>
        </w:rPr>
      </w:pPr>
      <w:r>
        <w:rPr>
          <w:rFonts w:eastAsiaTheme="minorHAnsi"/>
        </w:rPr>
        <w:t>Changes in Pro</w:t>
      </w:r>
      <w:r w:rsidR="007D6C1A">
        <w:rPr>
          <w:rFonts w:eastAsiaTheme="minorHAnsi"/>
        </w:rPr>
        <w:t>gram Design or Sales Channel – example:  m</w:t>
      </w:r>
      <w:r>
        <w:rPr>
          <w:rFonts w:eastAsiaTheme="minorHAnsi"/>
        </w:rPr>
        <w:t xml:space="preserve">ove from downstream to upstream for </w:t>
      </w:r>
      <w:r w:rsidRPr="007F543F">
        <w:rPr>
          <w:rFonts w:eastAsiaTheme="minorHAnsi"/>
        </w:rPr>
        <w:t>HVAC</w:t>
      </w:r>
      <w:r>
        <w:rPr>
          <w:rFonts w:eastAsiaTheme="minorHAnsi"/>
        </w:rPr>
        <w:t xml:space="preserve"> system rebates</w:t>
      </w:r>
      <w:r w:rsidR="007D6C1A">
        <w:rPr>
          <w:rFonts w:eastAsiaTheme="minorHAnsi"/>
        </w:rPr>
        <w:t>.</w:t>
      </w:r>
    </w:p>
    <w:p w:rsidR="00C51AAF" w:rsidRPr="004F6398" w:rsidRDefault="0059185A" w:rsidP="004F6398">
      <w:pPr>
        <w:pStyle w:val="Heading2"/>
        <w:rPr>
          <w:rFonts w:eastAsiaTheme="minorHAnsi"/>
        </w:rPr>
      </w:pPr>
      <w:r w:rsidRPr="004F6398">
        <w:rPr>
          <w:rFonts w:eastAsiaTheme="minorHAnsi"/>
        </w:rPr>
        <w:t>Assessment</w:t>
      </w:r>
      <w:r w:rsidR="006F4FB8" w:rsidRPr="004F6398">
        <w:rPr>
          <w:rFonts w:eastAsiaTheme="minorHAnsi"/>
        </w:rPr>
        <w:t xml:space="preserve"> of Current Data and Tools Available for Adjusting NTGR </w:t>
      </w:r>
      <w:r w:rsidR="007A55ED" w:rsidRPr="004F6398">
        <w:rPr>
          <w:rFonts w:eastAsiaTheme="minorHAnsi"/>
        </w:rPr>
        <w:t>O</w:t>
      </w:r>
      <w:r w:rsidR="006F4FB8" w:rsidRPr="004F6398">
        <w:rPr>
          <w:rFonts w:eastAsiaTheme="minorHAnsi"/>
        </w:rPr>
        <w:t xml:space="preserve">ver </w:t>
      </w:r>
      <w:r w:rsidR="007A55ED" w:rsidRPr="004F6398">
        <w:rPr>
          <w:rFonts w:eastAsiaTheme="minorHAnsi"/>
        </w:rPr>
        <w:t>T</w:t>
      </w:r>
      <w:r w:rsidR="006F4FB8" w:rsidRPr="004F6398">
        <w:rPr>
          <w:rFonts w:eastAsiaTheme="minorHAnsi"/>
        </w:rPr>
        <w:t>ime</w:t>
      </w:r>
    </w:p>
    <w:p w:rsidR="006F4FB8" w:rsidRPr="00B3013F" w:rsidRDefault="006F4FB8" w:rsidP="006F4FB8">
      <w:pPr>
        <w:rPr>
          <w:rFonts w:eastAsiaTheme="minorHAnsi"/>
        </w:rPr>
      </w:pPr>
      <w:r>
        <w:rPr>
          <w:rFonts w:eastAsiaTheme="minorHAnsi"/>
        </w:rPr>
        <w:t xml:space="preserve">There is insufficient data on the market share of low flow showerheads or the saturation of aerators to make adjustments to the 2008 NTGRs for use in </w:t>
      </w:r>
      <w:r w:rsidR="00E72E6C">
        <w:rPr>
          <w:rFonts w:eastAsiaTheme="minorHAnsi"/>
        </w:rPr>
        <w:t>post 2012 program years</w:t>
      </w:r>
      <w:r>
        <w:rPr>
          <w:rFonts w:eastAsiaTheme="minorHAnsi"/>
        </w:rPr>
        <w:t>.  Thus</w:t>
      </w:r>
      <w:r w:rsidR="007D6C1A">
        <w:rPr>
          <w:rFonts w:eastAsiaTheme="minorHAnsi"/>
        </w:rPr>
        <w:t>,</w:t>
      </w:r>
      <w:r>
        <w:rPr>
          <w:rFonts w:eastAsiaTheme="minorHAnsi"/>
        </w:rPr>
        <w:t xml:space="preserve"> </w:t>
      </w:r>
      <w:r w:rsidR="00E72E6C">
        <w:rPr>
          <w:rFonts w:eastAsiaTheme="minorHAnsi"/>
        </w:rPr>
        <w:t>the</w:t>
      </w:r>
      <w:r>
        <w:rPr>
          <w:rFonts w:eastAsiaTheme="minorHAnsi"/>
        </w:rPr>
        <w:t xml:space="preserve"> discussion focuses on potential changes for NTGR for efficient gas water heaters below.</w:t>
      </w:r>
    </w:p>
    <w:p w:rsidR="00C51AAF" w:rsidRPr="004F6398" w:rsidRDefault="006F4FB8" w:rsidP="004F6398">
      <w:pPr>
        <w:pStyle w:val="Heading2"/>
        <w:rPr>
          <w:rFonts w:eastAsiaTheme="minorHAnsi"/>
        </w:rPr>
      </w:pPr>
      <w:r w:rsidRPr="004F6398">
        <w:rPr>
          <w:rFonts w:eastAsiaTheme="minorHAnsi"/>
        </w:rPr>
        <w:t xml:space="preserve">Efficient Market Share of Gas Water </w:t>
      </w:r>
      <w:r w:rsidR="007A55ED" w:rsidRPr="004F6398">
        <w:rPr>
          <w:rFonts w:eastAsiaTheme="minorHAnsi"/>
        </w:rPr>
        <w:t>H</w:t>
      </w:r>
      <w:r w:rsidRPr="004F6398">
        <w:rPr>
          <w:rFonts w:eastAsiaTheme="minorHAnsi"/>
        </w:rPr>
        <w:t xml:space="preserve">eating </w:t>
      </w:r>
      <w:r w:rsidR="007A55ED" w:rsidRPr="004F6398">
        <w:rPr>
          <w:rFonts w:eastAsiaTheme="minorHAnsi"/>
        </w:rPr>
        <w:t>S</w:t>
      </w:r>
      <w:r w:rsidRPr="004F6398">
        <w:rPr>
          <w:rFonts w:eastAsiaTheme="minorHAnsi"/>
        </w:rPr>
        <w:t>ystems</w:t>
      </w:r>
    </w:p>
    <w:p w:rsidR="006F4FB8" w:rsidRDefault="00250321" w:rsidP="006F4FB8">
      <w:pPr>
        <w:rPr>
          <w:rFonts w:eastAsiaTheme="minorHAnsi"/>
        </w:rPr>
      </w:pPr>
      <w:r>
        <w:rPr>
          <w:rFonts w:eastAsiaTheme="minorHAnsi"/>
        </w:rPr>
        <w:fldChar w:fldCharType="begin"/>
      </w:r>
      <w:r w:rsidR="007D6C1A">
        <w:rPr>
          <w:rFonts w:eastAsiaTheme="minorHAnsi"/>
        </w:rPr>
        <w:instrText xml:space="preserve"> REF _Ref306174439 </w:instrText>
      </w:r>
      <w:r>
        <w:rPr>
          <w:rFonts w:eastAsiaTheme="minorHAnsi"/>
        </w:rPr>
        <w:fldChar w:fldCharType="separate"/>
      </w:r>
      <w:r w:rsidR="008D6E8B">
        <w:t xml:space="preserve">Table </w:t>
      </w:r>
      <w:r w:rsidR="008D6E8B">
        <w:rPr>
          <w:noProof/>
        </w:rPr>
        <w:t>13</w:t>
      </w:r>
      <w:r w:rsidR="008D6E8B">
        <w:noBreakHyphen/>
      </w:r>
      <w:r w:rsidR="008D6E8B">
        <w:rPr>
          <w:noProof/>
        </w:rPr>
        <w:t>5</w:t>
      </w:r>
      <w:r>
        <w:rPr>
          <w:rFonts w:eastAsiaTheme="minorHAnsi"/>
        </w:rPr>
        <w:fldChar w:fldCharType="end"/>
      </w:r>
      <w:r w:rsidR="006F4FB8">
        <w:rPr>
          <w:rFonts w:eastAsiaTheme="minorHAnsi"/>
        </w:rPr>
        <w:t xml:space="preserve"> provides data on changes in market share of more</w:t>
      </w:r>
      <w:r w:rsidR="006F4FB8" w:rsidRPr="00C3215D">
        <w:rPr>
          <w:rFonts w:eastAsiaTheme="minorHAnsi"/>
        </w:rPr>
        <w:t xml:space="preserve"> </w:t>
      </w:r>
      <w:r w:rsidR="006F4FB8">
        <w:rPr>
          <w:rFonts w:eastAsiaTheme="minorHAnsi"/>
        </w:rPr>
        <w:t>efficient gas water heaters is available for in California from 2000 to 2005 and at the national level from 2000 to 2010.</w:t>
      </w:r>
    </w:p>
    <w:p w:rsidR="006F4FB8" w:rsidRDefault="007D6C1A" w:rsidP="007D6C1A">
      <w:pPr>
        <w:pStyle w:val="Caption"/>
        <w:rPr>
          <w:rFonts w:eastAsiaTheme="minorHAnsi"/>
        </w:rPr>
      </w:pPr>
      <w:bookmarkStart w:id="6" w:name="_Ref306174439"/>
      <w:r>
        <w:lastRenderedPageBreak/>
        <w:t xml:space="preserve">Table </w:t>
      </w:r>
      <w:r w:rsidR="00250321">
        <w:fldChar w:fldCharType="begin"/>
      </w:r>
      <w:r w:rsidR="00C51AAF">
        <w:instrText xml:space="preserve"> STYLEREF 1 \s </w:instrText>
      </w:r>
      <w:r w:rsidR="00250321">
        <w:fldChar w:fldCharType="separate"/>
      </w:r>
      <w:r w:rsidR="008D6E8B">
        <w:rPr>
          <w:noProof/>
        </w:rPr>
        <w:t>13</w:t>
      </w:r>
      <w:r w:rsidR="00250321">
        <w:fldChar w:fldCharType="end"/>
      </w:r>
      <w:r>
        <w:noBreakHyphen/>
      </w:r>
      <w:r w:rsidR="00250321">
        <w:fldChar w:fldCharType="begin"/>
      </w:r>
      <w:r w:rsidR="00C51AAF">
        <w:instrText xml:space="preserve"> SEQ Table \* ARABIC \s 1 </w:instrText>
      </w:r>
      <w:r w:rsidR="00250321">
        <w:fldChar w:fldCharType="separate"/>
      </w:r>
      <w:r w:rsidR="008D6E8B">
        <w:rPr>
          <w:noProof/>
        </w:rPr>
        <w:t>5</w:t>
      </w:r>
      <w:r w:rsidR="00250321">
        <w:fldChar w:fldCharType="end"/>
      </w:r>
      <w:bookmarkEnd w:id="6"/>
      <w:r>
        <w:t xml:space="preserve">: </w:t>
      </w:r>
      <w:r w:rsidR="007A55ED">
        <w:rPr>
          <w:rFonts w:eastAsiaTheme="minorHAnsi"/>
        </w:rPr>
        <w:t xml:space="preserve"> </w:t>
      </w:r>
      <w:r w:rsidR="006F4FB8">
        <w:rPr>
          <w:rFonts w:eastAsiaTheme="minorHAnsi"/>
        </w:rPr>
        <w:t xml:space="preserve">Trends in Efficient Market Share for Gas Water Heater </w:t>
      </w:r>
      <w:r w:rsidR="009C00A1">
        <w:rPr>
          <w:rFonts w:eastAsiaTheme="minorHAnsi"/>
        </w:rPr>
        <w:t>Systems</w:t>
      </w:r>
    </w:p>
    <w:tbl>
      <w:tblPr>
        <w:tblStyle w:val="TableGrid"/>
        <w:tblW w:w="936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115" w:type="dxa"/>
          <w:right w:w="115" w:type="dxa"/>
        </w:tblCellMar>
        <w:tblLook w:val="01E0"/>
      </w:tblPr>
      <w:tblGrid>
        <w:gridCol w:w="2417"/>
        <w:gridCol w:w="1233"/>
        <w:gridCol w:w="1030"/>
        <w:gridCol w:w="1151"/>
        <w:gridCol w:w="3529"/>
      </w:tblGrid>
      <w:tr w:rsidR="006F4FB8" w:rsidRPr="009C00A1" w:rsidTr="009C00A1">
        <w:trPr>
          <w:trHeight w:val="420"/>
        </w:trPr>
        <w:tc>
          <w:tcPr>
            <w:tcW w:w="2324" w:type="dxa"/>
            <w:tcBorders>
              <w:top w:val="single" w:sz="12" w:space="0" w:color="auto"/>
              <w:bottom w:val="single" w:sz="12" w:space="0" w:color="auto"/>
            </w:tcBorders>
            <w:shd w:val="clear" w:color="auto" w:fill="C0C0C0"/>
            <w:vAlign w:val="bottom"/>
          </w:tcPr>
          <w:p w:rsidR="006F4FB8" w:rsidRPr="009C00A1" w:rsidRDefault="006F4FB8" w:rsidP="009C00A1">
            <w:pPr>
              <w:keepNext/>
              <w:keepLines/>
              <w:spacing w:before="40" w:after="40" w:line="240" w:lineRule="auto"/>
              <w:jc w:val="left"/>
              <w:rPr>
                <w:b/>
                <w:sz w:val="20"/>
                <w:szCs w:val="20"/>
              </w:rPr>
            </w:pPr>
            <w:r w:rsidRPr="009C00A1">
              <w:rPr>
                <w:b/>
                <w:sz w:val="20"/>
                <w:szCs w:val="20"/>
              </w:rPr>
              <w:t>Measure</w:t>
            </w:r>
          </w:p>
        </w:tc>
        <w:tc>
          <w:tcPr>
            <w:tcW w:w="1186" w:type="dxa"/>
            <w:tcBorders>
              <w:top w:val="single" w:sz="12" w:space="0" w:color="auto"/>
              <w:bottom w:val="single" w:sz="12" w:space="0" w:color="auto"/>
            </w:tcBorders>
            <w:shd w:val="clear" w:color="auto" w:fill="C0C0C0"/>
            <w:vAlign w:val="bottom"/>
          </w:tcPr>
          <w:p w:rsidR="006F4FB8" w:rsidRPr="009C00A1" w:rsidRDefault="006F4FB8" w:rsidP="009C00A1">
            <w:pPr>
              <w:keepNext/>
              <w:keepLines/>
              <w:spacing w:before="40" w:after="40" w:line="240" w:lineRule="auto"/>
              <w:jc w:val="center"/>
              <w:rPr>
                <w:b/>
                <w:sz w:val="20"/>
                <w:szCs w:val="20"/>
              </w:rPr>
            </w:pPr>
            <w:r w:rsidRPr="009C00A1">
              <w:rPr>
                <w:b/>
                <w:sz w:val="20"/>
                <w:szCs w:val="20"/>
              </w:rPr>
              <w:t>2000</w:t>
            </w:r>
          </w:p>
        </w:tc>
        <w:tc>
          <w:tcPr>
            <w:tcW w:w="990" w:type="dxa"/>
            <w:tcBorders>
              <w:top w:val="single" w:sz="12" w:space="0" w:color="auto"/>
              <w:bottom w:val="single" w:sz="12" w:space="0" w:color="auto"/>
            </w:tcBorders>
            <w:shd w:val="clear" w:color="auto" w:fill="C0C0C0"/>
            <w:vAlign w:val="bottom"/>
          </w:tcPr>
          <w:p w:rsidR="006F4FB8" w:rsidRPr="009C00A1" w:rsidRDefault="006F4FB8" w:rsidP="009C00A1">
            <w:pPr>
              <w:keepNext/>
              <w:keepLines/>
              <w:spacing w:before="40" w:after="40" w:line="240" w:lineRule="auto"/>
              <w:jc w:val="center"/>
              <w:rPr>
                <w:b/>
                <w:sz w:val="20"/>
                <w:szCs w:val="20"/>
              </w:rPr>
            </w:pPr>
            <w:r w:rsidRPr="009C00A1">
              <w:rPr>
                <w:b/>
                <w:sz w:val="20"/>
                <w:szCs w:val="20"/>
              </w:rPr>
              <w:t>2005</w:t>
            </w:r>
          </w:p>
        </w:tc>
        <w:tc>
          <w:tcPr>
            <w:tcW w:w="1107" w:type="dxa"/>
            <w:tcBorders>
              <w:top w:val="single" w:sz="12" w:space="0" w:color="auto"/>
              <w:bottom w:val="single" w:sz="12" w:space="0" w:color="auto"/>
            </w:tcBorders>
            <w:shd w:val="clear" w:color="auto" w:fill="C0C0C0"/>
            <w:vAlign w:val="bottom"/>
          </w:tcPr>
          <w:p w:rsidR="006F4FB8" w:rsidRPr="009C00A1" w:rsidRDefault="006F4FB8" w:rsidP="009C00A1">
            <w:pPr>
              <w:keepNext/>
              <w:keepLines/>
              <w:spacing w:before="40" w:after="40" w:line="240" w:lineRule="auto"/>
              <w:jc w:val="center"/>
              <w:rPr>
                <w:b/>
                <w:sz w:val="20"/>
                <w:szCs w:val="20"/>
              </w:rPr>
            </w:pPr>
            <w:r w:rsidRPr="009C00A1">
              <w:rPr>
                <w:b/>
                <w:sz w:val="20"/>
                <w:szCs w:val="20"/>
              </w:rPr>
              <w:t>2010</w:t>
            </w:r>
          </w:p>
        </w:tc>
        <w:tc>
          <w:tcPr>
            <w:tcW w:w="3393" w:type="dxa"/>
            <w:tcBorders>
              <w:top w:val="single" w:sz="12" w:space="0" w:color="auto"/>
              <w:bottom w:val="single" w:sz="12" w:space="0" w:color="auto"/>
            </w:tcBorders>
            <w:shd w:val="clear" w:color="auto" w:fill="C0C0C0"/>
            <w:vAlign w:val="bottom"/>
          </w:tcPr>
          <w:p w:rsidR="006F4FB8" w:rsidRPr="009C00A1" w:rsidRDefault="006F4FB8" w:rsidP="009C00A1">
            <w:pPr>
              <w:keepNext/>
              <w:keepLines/>
              <w:spacing w:before="40" w:after="40" w:line="240" w:lineRule="auto"/>
              <w:jc w:val="center"/>
              <w:rPr>
                <w:b/>
                <w:sz w:val="20"/>
                <w:szCs w:val="20"/>
              </w:rPr>
            </w:pPr>
            <w:r w:rsidRPr="009C00A1">
              <w:rPr>
                <w:b/>
                <w:sz w:val="20"/>
                <w:szCs w:val="20"/>
              </w:rPr>
              <w:t>Source</w:t>
            </w:r>
          </w:p>
        </w:tc>
      </w:tr>
      <w:tr w:rsidR="006F4FB8" w:rsidRPr="009C00A1" w:rsidTr="009C00A1">
        <w:trPr>
          <w:trHeight w:val="853"/>
        </w:trPr>
        <w:tc>
          <w:tcPr>
            <w:tcW w:w="2324" w:type="dxa"/>
            <w:tcBorders>
              <w:top w:val="single" w:sz="12" w:space="0" w:color="auto"/>
            </w:tcBorders>
            <w:vAlign w:val="center"/>
          </w:tcPr>
          <w:p w:rsidR="006F4FB8" w:rsidRPr="009C00A1" w:rsidRDefault="006F4FB8" w:rsidP="009C00A1">
            <w:pPr>
              <w:keepNext/>
              <w:keepLines/>
              <w:spacing w:before="40" w:after="40" w:line="240" w:lineRule="auto"/>
              <w:jc w:val="left"/>
              <w:rPr>
                <w:sz w:val="20"/>
                <w:szCs w:val="20"/>
              </w:rPr>
            </w:pPr>
            <w:r w:rsidRPr="009C00A1">
              <w:rPr>
                <w:sz w:val="20"/>
                <w:szCs w:val="20"/>
              </w:rPr>
              <w:t>Gas Water Heater- Average Energy Factor</w:t>
            </w:r>
          </w:p>
          <w:p w:rsidR="006F4FB8" w:rsidRPr="009C00A1" w:rsidRDefault="006F4FB8" w:rsidP="009C00A1">
            <w:pPr>
              <w:keepNext/>
              <w:keepLines/>
              <w:spacing w:before="40" w:after="40" w:line="240" w:lineRule="auto"/>
              <w:jc w:val="left"/>
              <w:rPr>
                <w:sz w:val="20"/>
                <w:szCs w:val="20"/>
              </w:rPr>
            </w:pPr>
            <w:r w:rsidRPr="009C00A1">
              <w:rPr>
                <w:sz w:val="20"/>
                <w:szCs w:val="20"/>
              </w:rPr>
              <w:t>Mkt Share &gt;.64 EF</w:t>
            </w:r>
          </w:p>
        </w:tc>
        <w:tc>
          <w:tcPr>
            <w:tcW w:w="1186" w:type="dxa"/>
            <w:tcBorders>
              <w:top w:val="single" w:sz="12" w:space="0" w:color="auto"/>
            </w:tcBorders>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23.1%</w:t>
            </w:r>
          </w:p>
        </w:tc>
        <w:tc>
          <w:tcPr>
            <w:tcW w:w="990" w:type="dxa"/>
            <w:tcBorders>
              <w:top w:val="single" w:sz="12" w:space="0" w:color="auto"/>
            </w:tcBorders>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26.8%</w:t>
            </w:r>
          </w:p>
        </w:tc>
        <w:tc>
          <w:tcPr>
            <w:tcW w:w="1107" w:type="dxa"/>
            <w:tcBorders>
              <w:top w:val="single" w:sz="12" w:space="0" w:color="auto"/>
            </w:tcBorders>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NA</w:t>
            </w:r>
          </w:p>
        </w:tc>
        <w:tc>
          <w:tcPr>
            <w:tcW w:w="3393" w:type="dxa"/>
            <w:tcBorders>
              <w:top w:val="single" w:sz="12" w:space="0" w:color="auto"/>
            </w:tcBorders>
            <w:vAlign w:val="center"/>
          </w:tcPr>
          <w:p w:rsidR="006F4FB8" w:rsidRPr="009C00A1" w:rsidRDefault="006F4FB8" w:rsidP="009C00A1">
            <w:pPr>
              <w:keepNext/>
              <w:keepLines/>
              <w:spacing w:before="40" w:after="40" w:line="240" w:lineRule="auto"/>
              <w:jc w:val="left"/>
              <w:rPr>
                <w:sz w:val="20"/>
                <w:szCs w:val="20"/>
              </w:rPr>
            </w:pPr>
            <w:r w:rsidRPr="009C00A1">
              <w:rPr>
                <w:sz w:val="20"/>
                <w:szCs w:val="20"/>
              </w:rPr>
              <w:t>California Data</w:t>
            </w:r>
          </w:p>
        </w:tc>
      </w:tr>
      <w:tr w:rsidR="006F4FB8" w:rsidRPr="009C00A1" w:rsidTr="009C00A1">
        <w:trPr>
          <w:trHeight w:val="709"/>
        </w:trPr>
        <w:tc>
          <w:tcPr>
            <w:tcW w:w="2324" w:type="dxa"/>
            <w:vAlign w:val="center"/>
          </w:tcPr>
          <w:p w:rsidR="006F4FB8" w:rsidRPr="009C00A1" w:rsidRDefault="006F4FB8" w:rsidP="009C00A1">
            <w:pPr>
              <w:keepNext/>
              <w:keepLines/>
              <w:spacing w:before="40" w:after="40" w:line="240" w:lineRule="auto"/>
              <w:jc w:val="left"/>
              <w:rPr>
                <w:sz w:val="20"/>
                <w:szCs w:val="20"/>
              </w:rPr>
            </w:pPr>
            <w:r w:rsidRPr="009C00A1">
              <w:rPr>
                <w:sz w:val="20"/>
                <w:szCs w:val="20"/>
              </w:rPr>
              <w:t>Electric Water Heaters</w:t>
            </w:r>
          </w:p>
          <w:p w:rsidR="006F4FB8" w:rsidRPr="009C00A1" w:rsidRDefault="006F4FB8" w:rsidP="009C00A1">
            <w:pPr>
              <w:keepNext/>
              <w:keepLines/>
              <w:spacing w:before="40" w:after="40" w:line="240" w:lineRule="auto"/>
              <w:jc w:val="left"/>
              <w:rPr>
                <w:sz w:val="20"/>
                <w:szCs w:val="20"/>
              </w:rPr>
            </w:pPr>
            <w:r w:rsidRPr="009C00A1">
              <w:rPr>
                <w:sz w:val="20"/>
                <w:szCs w:val="20"/>
              </w:rPr>
              <w:t>Market share &gt;.92 EF</w:t>
            </w:r>
          </w:p>
        </w:tc>
        <w:tc>
          <w:tcPr>
            <w:tcW w:w="1186" w:type="dxa"/>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6.3%</w:t>
            </w:r>
          </w:p>
        </w:tc>
        <w:tc>
          <w:tcPr>
            <w:tcW w:w="990" w:type="dxa"/>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12.6%</w:t>
            </w:r>
          </w:p>
        </w:tc>
        <w:tc>
          <w:tcPr>
            <w:tcW w:w="1107" w:type="dxa"/>
            <w:vAlign w:val="center"/>
          </w:tcPr>
          <w:p w:rsidR="006F4FB8" w:rsidRPr="009C00A1" w:rsidRDefault="006F4FB8" w:rsidP="004F6398">
            <w:pPr>
              <w:keepNext/>
              <w:keepLines/>
              <w:spacing w:before="40" w:after="40" w:line="240" w:lineRule="auto"/>
              <w:jc w:val="center"/>
              <w:rPr>
                <w:sz w:val="20"/>
                <w:szCs w:val="20"/>
              </w:rPr>
            </w:pPr>
            <w:r w:rsidRPr="009C00A1">
              <w:rPr>
                <w:sz w:val="20"/>
                <w:szCs w:val="20"/>
              </w:rPr>
              <w:t>NA</w:t>
            </w:r>
          </w:p>
        </w:tc>
        <w:tc>
          <w:tcPr>
            <w:tcW w:w="3393" w:type="dxa"/>
            <w:vAlign w:val="center"/>
          </w:tcPr>
          <w:p w:rsidR="006F4FB8" w:rsidRPr="009C00A1" w:rsidRDefault="006F4FB8" w:rsidP="009C00A1">
            <w:pPr>
              <w:keepNext/>
              <w:keepLines/>
              <w:spacing w:before="40" w:after="40" w:line="240" w:lineRule="auto"/>
              <w:jc w:val="left"/>
              <w:rPr>
                <w:sz w:val="20"/>
                <w:szCs w:val="20"/>
              </w:rPr>
            </w:pPr>
            <w:r w:rsidRPr="009C00A1">
              <w:rPr>
                <w:sz w:val="20"/>
                <w:szCs w:val="20"/>
              </w:rPr>
              <w:t>None</w:t>
            </w:r>
          </w:p>
        </w:tc>
      </w:tr>
    </w:tbl>
    <w:p w:rsidR="009C00A1" w:rsidRDefault="009C00A1" w:rsidP="009C00A1">
      <w:pPr>
        <w:pStyle w:val="Halfline"/>
        <w:rPr>
          <w:rFonts w:eastAsiaTheme="minorHAnsi"/>
        </w:rPr>
      </w:pPr>
    </w:p>
    <w:p w:rsidR="006F4FB8" w:rsidRDefault="006F4FB8" w:rsidP="007A55ED">
      <w:pPr>
        <w:spacing w:before="240"/>
        <w:rPr>
          <w:rFonts w:eastAsiaTheme="minorHAnsi"/>
        </w:rPr>
      </w:pPr>
      <w:r>
        <w:rPr>
          <w:rFonts w:eastAsiaTheme="minorHAnsi"/>
        </w:rPr>
        <w:t>These historical trends in market share suggest the market share of more efficient gas water heaters will continue to increase at a slow but stable rate over the next three to five years.</w:t>
      </w:r>
      <w:r w:rsidR="00874B38">
        <w:rPr>
          <w:rFonts w:eastAsiaTheme="minorHAnsi"/>
        </w:rPr>
        <w:t xml:space="preserve"> </w:t>
      </w:r>
      <w:r>
        <w:rPr>
          <w:rFonts w:eastAsiaTheme="minorHAnsi"/>
        </w:rPr>
        <w:t xml:space="preserve"> Holding all other factors constant, we would expect that the NTGR for this program is likely to continue to fall in correlation with increases in market share for more efficient product if qualifying levels for rebated equipment are not adjusted upward.  However the observed drop in NTGR from 0.58 in 2005 to 0.23 in 2008 suggests that NTGR are not strongly correlated with the relatively small increases in market share for efficient water heaters with an EF above 0.64 in this table.</w:t>
      </w:r>
      <w:r w:rsidR="007D6C1A">
        <w:rPr>
          <w:rFonts w:eastAsiaTheme="minorHAnsi"/>
        </w:rPr>
        <w:t xml:space="preserve"> </w:t>
      </w:r>
      <w:r>
        <w:rPr>
          <w:rFonts w:eastAsiaTheme="minorHAnsi"/>
        </w:rPr>
        <w:t xml:space="preserve"> Hence we would not recommend making an adjustment to NTGR for </w:t>
      </w:r>
      <w:r w:rsidR="00D97BDF">
        <w:rPr>
          <w:rFonts w:eastAsiaTheme="minorHAnsi"/>
        </w:rPr>
        <w:t xml:space="preserve">the </w:t>
      </w:r>
      <w:r>
        <w:rPr>
          <w:rFonts w:eastAsiaTheme="minorHAnsi"/>
        </w:rPr>
        <w:t>2013 program year</w:t>
      </w:r>
      <w:r w:rsidR="00D97BDF">
        <w:rPr>
          <w:rFonts w:eastAsiaTheme="minorHAnsi"/>
        </w:rPr>
        <w:t xml:space="preserve"> and beyond</w:t>
      </w:r>
      <w:r>
        <w:rPr>
          <w:rFonts w:eastAsiaTheme="minorHAnsi"/>
        </w:rPr>
        <w:t xml:space="preserve"> based on forecast of market share alone.</w:t>
      </w:r>
    </w:p>
    <w:p w:rsidR="00C51AAF" w:rsidRDefault="00016737">
      <w:pPr>
        <w:pStyle w:val="Heading2"/>
        <w:rPr>
          <w:rFonts w:eastAsiaTheme="minorHAnsi"/>
        </w:rPr>
      </w:pPr>
      <w:r w:rsidRPr="000871A5">
        <w:rPr>
          <w:rFonts w:eastAsiaTheme="minorHAnsi"/>
        </w:rPr>
        <w:t xml:space="preserve">Trends in </w:t>
      </w:r>
      <w:r w:rsidRPr="00213A09">
        <w:rPr>
          <w:rFonts w:eastAsiaTheme="minorHAnsi"/>
        </w:rPr>
        <w:t>Rebate</w:t>
      </w:r>
      <w:r w:rsidRPr="000871A5">
        <w:rPr>
          <w:rFonts w:eastAsiaTheme="minorHAnsi"/>
        </w:rPr>
        <w:t xml:space="preserve"> </w:t>
      </w:r>
      <w:r>
        <w:rPr>
          <w:rFonts w:eastAsiaTheme="minorHAnsi"/>
        </w:rPr>
        <w:t>L</w:t>
      </w:r>
      <w:r w:rsidRPr="000871A5">
        <w:rPr>
          <w:rFonts w:eastAsiaTheme="minorHAnsi"/>
        </w:rPr>
        <w:t xml:space="preserve">evels as a </w:t>
      </w:r>
      <w:r>
        <w:rPr>
          <w:rFonts w:eastAsiaTheme="minorHAnsi"/>
        </w:rPr>
        <w:t>F</w:t>
      </w:r>
      <w:r w:rsidRPr="000871A5">
        <w:rPr>
          <w:rFonts w:eastAsiaTheme="minorHAnsi"/>
        </w:rPr>
        <w:t>raction of Incremental Cost</w:t>
      </w:r>
    </w:p>
    <w:p w:rsidR="00016737" w:rsidRDefault="00016737" w:rsidP="00016737">
      <w:pPr>
        <w:rPr>
          <w:rFonts w:eastAsiaTheme="minorHAnsi"/>
        </w:rPr>
      </w:pPr>
      <w:r>
        <w:rPr>
          <w:rFonts w:eastAsiaTheme="minorHAnsi"/>
        </w:rPr>
        <w:t xml:space="preserve">Rebate levels were decreased from $40 to unit in the 2005 program to $30/ unit for the 2008 program. </w:t>
      </w:r>
      <w:r w:rsidR="007D6C1A">
        <w:rPr>
          <w:rFonts w:eastAsiaTheme="minorHAnsi"/>
        </w:rPr>
        <w:t xml:space="preserve"> </w:t>
      </w:r>
      <w:r>
        <w:rPr>
          <w:rFonts w:eastAsiaTheme="minorHAnsi"/>
        </w:rPr>
        <w:t>At the same time the incremental cost of more efficient water heaters has declined from $175/unit in 2005 to $ 150/unit</w:t>
      </w:r>
      <w:r w:rsidR="00874B38">
        <w:rPr>
          <w:rFonts w:eastAsiaTheme="minorHAnsi"/>
        </w:rPr>
        <w:t xml:space="preserve"> </w:t>
      </w:r>
      <w:r>
        <w:rPr>
          <w:rFonts w:eastAsiaTheme="minorHAnsi"/>
        </w:rPr>
        <w:t>in 2008.</w:t>
      </w:r>
      <w:r w:rsidR="007D6C1A">
        <w:rPr>
          <w:rFonts w:eastAsiaTheme="minorHAnsi"/>
        </w:rPr>
        <w:t xml:space="preserve"> </w:t>
      </w:r>
      <w:r>
        <w:rPr>
          <w:rFonts w:eastAsiaTheme="minorHAnsi"/>
        </w:rPr>
        <w:t xml:space="preserve"> Thus</w:t>
      </w:r>
      <w:r w:rsidR="007D6C1A">
        <w:rPr>
          <w:rFonts w:eastAsiaTheme="minorHAnsi"/>
        </w:rPr>
        <w:t>,</w:t>
      </w:r>
      <w:r>
        <w:rPr>
          <w:rFonts w:eastAsiaTheme="minorHAnsi"/>
        </w:rPr>
        <w:t xml:space="preserve"> the fraction of rebates compared to incremental cost has remained relatively constant, from 23% to 20% over four years. </w:t>
      </w:r>
      <w:r w:rsidR="007D6C1A">
        <w:rPr>
          <w:rFonts w:eastAsiaTheme="minorHAnsi"/>
        </w:rPr>
        <w:t xml:space="preserve"> </w:t>
      </w:r>
      <w:r>
        <w:rPr>
          <w:rFonts w:eastAsiaTheme="minorHAnsi"/>
        </w:rPr>
        <w:t xml:space="preserve">This small change is not likely to cause significant changes in NTGR over time and there is insufficient data available to project future trends in the ratio or rebates to incremental costs. </w:t>
      </w:r>
      <w:r w:rsidR="007D6C1A">
        <w:rPr>
          <w:rFonts w:eastAsiaTheme="minorHAnsi"/>
        </w:rPr>
        <w:t xml:space="preserve"> </w:t>
      </w:r>
      <w:r>
        <w:rPr>
          <w:rFonts w:eastAsiaTheme="minorHAnsi"/>
        </w:rPr>
        <w:t>As a result no adjustment in NTGR is recommended.</w:t>
      </w:r>
    </w:p>
    <w:p w:rsidR="00C51AAF" w:rsidRDefault="00016737">
      <w:pPr>
        <w:pStyle w:val="Heading2"/>
        <w:rPr>
          <w:rFonts w:eastAsiaTheme="minorHAnsi"/>
        </w:rPr>
      </w:pPr>
      <w:r w:rsidRPr="000871A5">
        <w:rPr>
          <w:rFonts w:eastAsiaTheme="minorHAnsi"/>
        </w:rPr>
        <w:t xml:space="preserve">Contractor </w:t>
      </w:r>
      <w:r>
        <w:rPr>
          <w:rFonts w:eastAsiaTheme="minorHAnsi"/>
        </w:rPr>
        <w:t>M</w:t>
      </w:r>
      <w:r w:rsidRPr="000871A5">
        <w:rPr>
          <w:rFonts w:eastAsiaTheme="minorHAnsi"/>
        </w:rPr>
        <w:t>arket</w:t>
      </w:r>
    </w:p>
    <w:p w:rsidR="00016737" w:rsidRDefault="00016737" w:rsidP="00016737">
      <w:pPr>
        <w:rPr>
          <w:rFonts w:eastAsiaTheme="minorHAnsi"/>
        </w:rPr>
      </w:pPr>
      <w:r>
        <w:rPr>
          <w:rFonts w:eastAsiaTheme="minorHAnsi"/>
        </w:rPr>
        <w:t xml:space="preserve">Contractor market for water heater installation has fallen to record low levels of replacement sales and sales in the new construction market are also quite low.  In addition, customer disposable income has been falling for four years in California.  There have been no significant changes in the methods used by contractors to sell water heaters. </w:t>
      </w:r>
      <w:r w:rsidR="007D6C1A">
        <w:rPr>
          <w:rFonts w:eastAsiaTheme="minorHAnsi"/>
        </w:rPr>
        <w:t xml:space="preserve"> </w:t>
      </w:r>
      <w:r>
        <w:rPr>
          <w:rFonts w:eastAsiaTheme="minorHAnsi"/>
        </w:rPr>
        <w:t>Given these facts</w:t>
      </w:r>
      <w:r w:rsidR="007D6C1A">
        <w:rPr>
          <w:rFonts w:eastAsiaTheme="minorHAnsi"/>
        </w:rPr>
        <w:t>,</w:t>
      </w:r>
      <w:r>
        <w:rPr>
          <w:rFonts w:eastAsiaTheme="minorHAnsi"/>
        </w:rPr>
        <w:t xml:space="preserve"> no adjustments to NTGR are recommended based on this factor.</w:t>
      </w:r>
    </w:p>
    <w:p w:rsidR="00C51AAF" w:rsidRDefault="00016737">
      <w:pPr>
        <w:pStyle w:val="Heading2"/>
        <w:rPr>
          <w:rFonts w:eastAsiaTheme="minorHAnsi"/>
        </w:rPr>
      </w:pPr>
      <w:r w:rsidRPr="000871A5">
        <w:rPr>
          <w:rFonts w:eastAsiaTheme="minorHAnsi"/>
        </w:rPr>
        <w:lastRenderedPageBreak/>
        <w:t>P</w:t>
      </w:r>
      <w:r>
        <w:rPr>
          <w:rFonts w:eastAsiaTheme="minorHAnsi"/>
        </w:rPr>
        <w:t xml:space="preserve">rogram Design </w:t>
      </w:r>
      <w:r w:rsidRPr="00213A09">
        <w:rPr>
          <w:rFonts w:eastAsiaTheme="minorHAnsi"/>
        </w:rPr>
        <w:t>or</w:t>
      </w:r>
      <w:r>
        <w:rPr>
          <w:rFonts w:eastAsiaTheme="minorHAnsi"/>
        </w:rPr>
        <w:t xml:space="preserve"> Sales Channel</w:t>
      </w:r>
    </w:p>
    <w:p w:rsidR="00016737" w:rsidRDefault="00016737" w:rsidP="00016737">
      <w:pPr>
        <w:rPr>
          <w:rFonts w:eastAsiaTheme="minorHAnsi"/>
        </w:rPr>
      </w:pPr>
      <w:r>
        <w:rPr>
          <w:rFonts w:eastAsiaTheme="minorHAnsi"/>
        </w:rPr>
        <w:t xml:space="preserve">No significant changes in program design were observed between 2005 and 2008 programs. </w:t>
      </w:r>
      <w:r w:rsidR="007D6C1A">
        <w:rPr>
          <w:rFonts w:eastAsiaTheme="minorHAnsi"/>
        </w:rPr>
        <w:t xml:space="preserve"> </w:t>
      </w:r>
      <w:r>
        <w:rPr>
          <w:rFonts w:eastAsiaTheme="minorHAnsi"/>
        </w:rPr>
        <w:t>Review of the commission’s strategic plan for 2011 and beyond suggest that some changes in program design may be on the way but there is insufficient data to forecast the timing of any changes in program design with certainty.</w:t>
      </w:r>
      <w:r w:rsidR="007D6C1A">
        <w:rPr>
          <w:rFonts w:eastAsiaTheme="minorHAnsi"/>
        </w:rPr>
        <w:t xml:space="preserve"> </w:t>
      </w:r>
      <w:r>
        <w:rPr>
          <w:rFonts w:eastAsiaTheme="minorHAnsi"/>
        </w:rPr>
        <w:t xml:space="preserve"> As a result we recommend no adjustment to the NTGR based on potential changes in the program channel used to promote these water heating systems.</w:t>
      </w:r>
    </w:p>
    <w:p w:rsidR="00016737" w:rsidRDefault="00016737" w:rsidP="00016737">
      <w:pPr>
        <w:rPr>
          <w:rFonts w:eastAsiaTheme="minorHAnsi"/>
        </w:rPr>
      </w:pPr>
      <w:r>
        <w:rPr>
          <w:rFonts w:eastAsiaTheme="minorHAnsi"/>
        </w:rPr>
        <w:t>On the other hand there is a plethora of new types of water heating systems</w:t>
      </w:r>
      <w:r w:rsidR="00874B38">
        <w:rPr>
          <w:rFonts w:eastAsiaTheme="minorHAnsi"/>
        </w:rPr>
        <w:t xml:space="preserve"> </w:t>
      </w:r>
      <w:r>
        <w:rPr>
          <w:rFonts w:eastAsiaTheme="minorHAnsi"/>
        </w:rPr>
        <w:t xml:space="preserve">coming to market over the last three years which could reduce the incremental costs of these more efficient gas water heaters because of increased competition. </w:t>
      </w:r>
      <w:r w:rsidR="007D6C1A">
        <w:rPr>
          <w:rFonts w:eastAsiaTheme="minorHAnsi"/>
        </w:rPr>
        <w:t xml:space="preserve"> </w:t>
      </w:r>
      <w:r>
        <w:rPr>
          <w:rFonts w:eastAsiaTheme="minorHAnsi"/>
        </w:rPr>
        <w:t>A recent study from ACEEE lists 16 different types of water heating systems more efficient than the water heating systems promoted in the utility programs and reports incremental costs ranging from $200 to $3000 per system at a cost of conserved gas ranging from $ 0.75 to $3.26 per therm.  The study claims that seven of these sixteen water heating systems are cost effective at current prices.</w:t>
      </w:r>
      <w:r>
        <w:rPr>
          <w:rStyle w:val="FootnoteReference"/>
          <w:rFonts w:eastAsiaTheme="minorHAnsi"/>
        </w:rPr>
        <w:footnoteReference w:id="3"/>
      </w:r>
      <w:r>
        <w:rPr>
          <w:rFonts w:eastAsiaTheme="minorHAnsi"/>
        </w:rPr>
        <w:t xml:space="preserve">  If even a few of these new systems are able to achieve market share over 5%, it is likely that the new products will induce changes in program design or qualifying requirement for efficient gas systems. </w:t>
      </w:r>
      <w:r w:rsidR="006E3206">
        <w:rPr>
          <w:rFonts w:eastAsiaTheme="minorHAnsi"/>
        </w:rPr>
        <w:t xml:space="preserve"> </w:t>
      </w:r>
      <w:r>
        <w:rPr>
          <w:rFonts w:eastAsiaTheme="minorHAnsi"/>
        </w:rPr>
        <w:t>We lack confidence in how these two competing factors (competition from new technologies and declining incremental costs will interact over time to influence net NTGR’s.  As a result we recommend no adjustment to the NTGR based on this factor</w:t>
      </w:r>
      <w:r w:rsidR="00874B38">
        <w:rPr>
          <w:rFonts w:eastAsiaTheme="minorHAnsi"/>
        </w:rPr>
        <w:t>.</w:t>
      </w:r>
    </w:p>
    <w:p w:rsidR="00C51AAF" w:rsidRDefault="00016737">
      <w:pPr>
        <w:pStyle w:val="Heading2"/>
        <w:rPr>
          <w:rFonts w:eastAsiaTheme="minorHAnsi"/>
        </w:rPr>
      </w:pPr>
      <w:r w:rsidRPr="00A66036">
        <w:rPr>
          <w:rFonts w:eastAsiaTheme="minorHAnsi"/>
        </w:rPr>
        <w:t xml:space="preserve">Synthesis of </w:t>
      </w:r>
      <w:r w:rsidR="00B75838">
        <w:rPr>
          <w:rFonts w:eastAsiaTheme="minorHAnsi"/>
        </w:rPr>
        <w:t xml:space="preserve">NTGR </w:t>
      </w:r>
      <w:r w:rsidR="0059185A" w:rsidRPr="0059185A">
        <w:rPr>
          <w:rFonts w:eastAsiaTheme="minorHAnsi"/>
        </w:rPr>
        <w:t>Forecasting</w:t>
      </w:r>
      <w:r w:rsidR="00B75838">
        <w:rPr>
          <w:rFonts w:eastAsiaTheme="minorHAnsi"/>
        </w:rPr>
        <w:t xml:space="preserve"> and </w:t>
      </w:r>
      <w:r w:rsidRPr="00A66036">
        <w:rPr>
          <w:rFonts w:eastAsiaTheme="minorHAnsi"/>
        </w:rPr>
        <w:t>Adjustment Analysis</w:t>
      </w:r>
    </w:p>
    <w:p w:rsidR="00016737" w:rsidRDefault="00016737" w:rsidP="00016737">
      <w:pPr>
        <w:rPr>
          <w:rFonts w:eastAsiaTheme="minorHAnsi"/>
        </w:rPr>
      </w:pPr>
      <w:r>
        <w:rPr>
          <w:rFonts w:eastAsiaTheme="minorHAnsi"/>
        </w:rPr>
        <w:t xml:space="preserve">Given the lack of data on trends in the market share of more efficient gas systems and rebates as a function of incremental costs, and the overall decline in the sales volume contractor market, the </w:t>
      </w:r>
      <w:r w:rsidRPr="00AE00AD">
        <w:rPr>
          <w:rFonts w:eastAsiaTheme="minorHAnsi"/>
        </w:rPr>
        <w:t>DEER</w:t>
      </w:r>
      <w:r>
        <w:rPr>
          <w:rFonts w:eastAsiaTheme="minorHAnsi"/>
        </w:rPr>
        <w:t xml:space="preserve"> team finds there is insufficient data or forecasting tools available to reliably adjust the latest NTGR from 2008 values for program years in 2013 and beyond.  Thus</w:t>
      </w:r>
      <w:r w:rsidR="006E3206">
        <w:rPr>
          <w:rFonts w:eastAsiaTheme="minorHAnsi"/>
        </w:rPr>
        <w:t>,</w:t>
      </w:r>
      <w:r w:rsidR="000C152B">
        <w:rPr>
          <w:rFonts w:eastAsiaTheme="minorHAnsi"/>
        </w:rPr>
        <w:t xml:space="preserve"> the Team</w:t>
      </w:r>
      <w:r>
        <w:rPr>
          <w:rFonts w:eastAsiaTheme="minorHAnsi"/>
        </w:rPr>
        <w:t xml:space="preserve"> recommend</w:t>
      </w:r>
      <w:r w:rsidR="000C152B">
        <w:rPr>
          <w:rFonts w:eastAsiaTheme="minorHAnsi"/>
        </w:rPr>
        <w:t>s</w:t>
      </w:r>
      <w:r>
        <w:rPr>
          <w:rFonts w:eastAsiaTheme="minorHAnsi"/>
        </w:rPr>
        <w:t xml:space="preserve"> no adjustments be made to the NTGR values </w:t>
      </w:r>
      <w:r w:rsidRPr="00143F57">
        <w:rPr>
          <w:rFonts w:eastAsiaTheme="minorHAnsi"/>
        </w:rPr>
        <w:t xml:space="preserve">presented in </w:t>
      </w:r>
      <w:fldSimple w:instr=" REF _Ref306174007  \* MERGEFORMAT ">
        <w:r w:rsidR="008D6E8B">
          <w:t xml:space="preserve">Table </w:t>
        </w:r>
        <w:r w:rsidR="008D6E8B">
          <w:rPr>
            <w:noProof/>
          </w:rPr>
          <w:t>13</w:t>
        </w:r>
        <w:r w:rsidR="008D6E8B">
          <w:rPr>
            <w:noProof/>
          </w:rPr>
          <w:noBreakHyphen/>
          <w:t>4</w:t>
        </w:r>
      </w:fldSimple>
      <w:r w:rsidRPr="00143F57">
        <w:rPr>
          <w:rFonts w:eastAsiaTheme="minorHAnsi"/>
        </w:rPr>
        <w:t xml:space="preserve"> for use in residential</w:t>
      </w:r>
      <w:r>
        <w:rPr>
          <w:rFonts w:eastAsiaTheme="minorHAnsi"/>
        </w:rPr>
        <w:t xml:space="preserve"> water heater programs fielded after 2013.</w:t>
      </w:r>
    </w:p>
    <w:sectPr w:rsidR="00016737" w:rsidSect="008A3BD1">
      <w:headerReference w:type="default" r:id="rId8"/>
      <w:footerReference w:type="default" r:id="rId9"/>
      <w:headerReference w:type="first" r:id="rId10"/>
      <w:footerReference w:type="first" r:id="rId11"/>
      <w:pgSz w:w="12240" w:h="15840" w:code="1"/>
      <w:pgMar w:top="1440" w:right="1440" w:bottom="1440" w:left="1440" w:header="720" w:footer="72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E6C" w:rsidRDefault="00E72E6C" w:rsidP="00CB6D68">
      <w:pPr>
        <w:spacing w:after="0" w:line="240" w:lineRule="auto"/>
      </w:pPr>
      <w:r>
        <w:separator/>
      </w:r>
    </w:p>
  </w:endnote>
  <w:endnote w:type="continuationSeparator" w:id="0">
    <w:p w:rsidR="00E72E6C" w:rsidRDefault="00E72E6C" w:rsidP="00CB6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irect Install">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E6C" w:rsidRDefault="00E72E6C" w:rsidP="004F6398">
    <w:pPr>
      <w:pStyle w:val="Footer"/>
    </w:pPr>
    <w:r>
      <w:t>Itron, Inc.</w:t>
    </w:r>
    <w:r>
      <w:tab/>
    </w:r>
    <w:fldSimple w:instr=" PAGE   \* MERGEFORMAT ">
      <w:r w:rsidR="008D6E8B">
        <w:rPr>
          <w:noProof/>
        </w:rPr>
        <w:t>13-2</w:t>
      </w:r>
    </w:fldSimple>
    <w:r>
      <w:tab/>
    </w:r>
    <w:r w:rsidRPr="004F6398">
      <w:t>NTGR Res. WH Systems &amp; EE Measures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E6C" w:rsidRPr="004F6398" w:rsidRDefault="00E72E6C" w:rsidP="004F6398">
    <w:pPr>
      <w:pStyle w:val="Footer"/>
    </w:pPr>
    <w:r>
      <w:t>Itron, Inc.</w:t>
    </w:r>
    <w:r>
      <w:tab/>
    </w:r>
    <w:fldSimple w:instr=" PAGE   \* MERGEFORMAT ">
      <w:r w:rsidR="008D6E8B">
        <w:rPr>
          <w:noProof/>
        </w:rPr>
        <w:t>13-1</w:t>
      </w:r>
    </w:fldSimple>
    <w:r>
      <w:tab/>
    </w:r>
    <w:r w:rsidRPr="004F6398">
      <w:t>NTGR Res. WH Systems &amp; EE Measures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E6C" w:rsidRDefault="00E72E6C" w:rsidP="00CB6D68">
      <w:pPr>
        <w:spacing w:after="0" w:line="240" w:lineRule="auto"/>
      </w:pPr>
      <w:r>
        <w:separator/>
      </w:r>
    </w:p>
  </w:footnote>
  <w:footnote w:type="continuationSeparator" w:id="0">
    <w:p w:rsidR="00E72E6C" w:rsidRDefault="00E72E6C" w:rsidP="00CB6D68">
      <w:pPr>
        <w:spacing w:after="0" w:line="240" w:lineRule="auto"/>
      </w:pPr>
      <w:r>
        <w:continuationSeparator/>
      </w:r>
    </w:p>
  </w:footnote>
  <w:footnote w:id="1">
    <w:p w:rsidR="00E72E6C" w:rsidRPr="006F4FB8" w:rsidRDefault="00E72E6C" w:rsidP="00016737">
      <w:pPr>
        <w:pStyle w:val="FootnoteText"/>
        <w:rPr>
          <w:rFonts w:eastAsiaTheme="minorHAnsi"/>
        </w:rPr>
      </w:pPr>
      <w:r w:rsidRPr="0082240A">
        <w:rPr>
          <w:rStyle w:val="FootnoteReference"/>
          <w:rFonts w:ascii="Times New Roman" w:hAnsi="Times New Roman"/>
        </w:rPr>
        <w:footnoteRef/>
      </w:r>
      <w:r>
        <w:rPr>
          <w:rFonts w:eastAsiaTheme="minorHAnsi"/>
        </w:rPr>
        <w:tab/>
        <w:t xml:space="preserve">The Cadmus Group, </w:t>
      </w:r>
      <w:r w:rsidRPr="005039D7">
        <w:rPr>
          <w:rFonts w:eastAsiaTheme="minorHAnsi"/>
          <w:i/>
        </w:rPr>
        <w:t>Residential Retrofit High Impact Measure Evaluation Report</w:t>
      </w:r>
      <w:r w:rsidRPr="006F4FB8">
        <w:rPr>
          <w:rFonts w:eastAsiaTheme="minorHAnsi"/>
        </w:rPr>
        <w:t xml:space="preserve"> and Appendices,</w:t>
      </w:r>
      <w:r>
        <w:rPr>
          <w:rFonts w:eastAsiaTheme="minorHAnsi"/>
        </w:rPr>
        <w:t xml:space="preserve"> </w:t>
      </w:r>
      <w:r w:rsidRPr="006F4FB8">
        <w:rPr>
          <w:rFonts w:eastAsiaTheme="minorHAnsi"/>
        </w:rPr>
        <w:t>(Prepared for the Energy Divisio</w:t>
      </w:r>
      <w:r>
        <w:rPr>
          <w:rFonts w:eastAsiaTheme="minorHAnsi"/>
        </w:rPr>
        <w:t>n of the CPUC, February 8, 2010</w:t>
      </w:r>
      <w:r w:rsidRPr="006F4FB8">
        <w:rPr>
          <w:rFonts w:eastAsiaTheme="minorHAnsi"/>
        </w:rPr>
        <w:t>)</w:t>
      </w:r>
      <w:r>
        <w:rPr>
          <w:rFonts w:eastAsiaTheme="minorHAnsi"/>
        </w:rPr>
        <w:t>.</w:t>
      </w:r>
    </w:p>
  </w:footnote>
  <w:footnote w:id="2">
    <w:p w:rsidR="00E72E6C" w:rsidRPr="006F4FB8" w:rsidRDefault="00E72E6C" w:rsidP="001E53B3">
      <w:pPr>
        <w:pStyle w:val="FootnoteText"/>
      </w:pPr>
      <w:r w:rsidRPr="0082240A">
        <w:rPr>
          <w:rStyle w:val="FootnoteReference"/>
        </w:rPr>
        <w:footnoteRef/>
      </w:r>
      <w:r>
        <w:rPr>
          <w:rFonts w:eastAsiaTheme="minorHAnsi"/>
        </w:rPr>
        <w:tab/>
      </w:r>
      <w:r w:rsidRPr="006F4FB8">
        <w:rPr>
          <w:rFonts w:eastAsiaTheme="minorHAnsi"/>
        </w:rPr>
        <w:t>Itron Inc</w:t>
      </w:r>
      <w:r w:rsidRPr="001E53B3">
        <w:rPr>
          <w:rFonts w:eastAsiaTheme="minorHAnsi"/>
          <w:i/>
        </w:rPr>
        <w:t>, 2004/2005 Statewide Residential Retrofit Single-Family Energy Efficiency Rebate Evaluation</w:t>
      </w:r>
      <w:r w:rsidRPr="006F4FB8">
        <w:rPr>
          <w:rFonts w:eastAsiaTheme="minorHAnsi"/>
        </w:rPr>
        <w:t>; CPUC-ID#:1115-04, September 2007.</w:t>
      </w:r>
    </w:p>
  </w:footnote>
  <w:footnote w:id="3">
    <w:p w:rsidR="00E72E6C" w:rsidRDefault="00E72E6C" w:rsidP="00016737">
      <w:pPr>
        <w:pStyle w:val="FootnoteText"/>
      </w:pPr>
      <w:r>
        <w:rPr>
          <w:rStyle w:val="FootnoteReference"/>
        </w:rPr>
        <w:footnoteRef/>
      </w:r>
      <w:r>
        <w:tab/>
        <w:t xml:space="preserve">Harvey Sachs, Jacob Talbot and Nate Kaufman, </w:t>
      </w:r>
      <w:r w:rsidRPr="001E7D3F">
        <w:rPr>
          <w:b/>
        </w:rPr>
        <w:t>Emerging Hot Water Technologies and Practices as of 2011</w:t>
      </w:r>
      <w:r>
        <w:t xml:space="preserve"> (ACEEE, Research Report A112, October, 2011) see Table 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E6C" w:rsidRDefault="00E72E6C" w:rsidP="004F6398">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E6C" w:rsidRPr="004F6398" w:rsidRDefault="00E72E6C" w:rsidP="004F6398">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2EEA422A"/>
    <w:lvl w:ilvl="0">
      <w:start w:val="13"/>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4">
    <w:nsid w:val="35FD6112"/>
    <w:multiLevelType w:val="multilevel"/>
    <w:tmpl w:val="67F0C0C4"/>
    <w:numStyleLink w:val="CnAListBullets"/>
  </w:abstractNum>
  <w:abstractNum w:abstractNumId="5">
    <w:nsid w:val="3D3C5BCA"/>
    <w:multiLevelType w:val="hybridMultilevel"/>
    <w:tmpl w:val="5FD4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577D3C"/>
    <w:multiLevelType w:val="hybridMultilevel"/>
    <w:tmpl w:val="17464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8">
    <w:nsid w:val="72796F26"/>
    <w:multiLevelType w:val="multilevel"/>
    <w:tmpl w:val="67F0C0C4"/>
    <w:numStyleLink w:val="CnAListBullets"/>
  </w:abstractNum>
  <w:num w:numId="1">
    <w:abstractNumId w:val="1"/>
  </w:num>
  <w:num w:numId="2">
    <w:abstractNumId w:val="1"/>
  </w:num>
  <w:num w:numId="3">
    <w:abstractNumId w:val="1"/>
  </w:num>
  <w:num w:numId="4">
    <w:abstractNumId w:val="1"/>
  </w:num>
  <w:num w:numId="5">
    <w:abstractNumId w:val="2"/>
  </w:num>
  <w:num w:numId="6">
    <w:abstractNumId w:val="1"/>
  </w:num>
  <w:num w:numId="7">
    <w:abstractNumId w:val="1"/>
  </w:num>
  <w:num w:numId="8">
    <w:abstractNumId w:val="0"/>
  </w:num>
  <w:num w:numId="9">
    <w:abstractNumId w:val="0"/>
  </w:num>
  <w:num w:numId="10">
    <w:abstractNumId w:val="7"/>
  </w:num>
  <w:num w:numId="11">
    <w:abstractNumId w:val="3"/>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3"/>
  </w:num>
  <w:num w:numId="22">
    <w:abstractNumId w:val="3"/>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0"/>
  </w:num>
  <w:num w:numId="36">
    <w:abstractNumId w:val="3"/>
  </w:num>
  <w:num w:numId="37">
    <w:abstractNumId w:val="1"/>
  </w:num>
  <w:num w:numId="38">
    <w:abstractNumId w:val="1"/>
  </w:num>
  <w:num w:numId="39">
    <w:abstractNumId w:val="1"/>
  </w:num>
  <w:num w:numId="40">
    <w:abstractNumId w:val="1"/>
  </w:num>
  <w:num w:numId="41">
    <w:abstractNumId w:val="1"/>
  </w:num>
  <w:num w:numId="42">
    <w:abstractNumId w:val="1"/>
  </w:num>
  <w:num w:numId="43">
    <w:abstractNumId w:val="5"/>
  </w:num>
  <w:num w:numId="44">
    <w:abstractNumId w:val="6"/>
  </w:num>
  <w:num w:numId="45">
    <w:abstractNumId w:val="8"/>
  </w:num>
  <w:num w:numId="4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18433"/>
  </w:hdrShapeDefaults>
  <w:footnotePr>
    <w:footnote w:id="-1"/>
    <w:footnote w:id="0"/>
  </w:footnotePr>
  <w:endnotePr>
    <w:endnote w:id="-1"/>
    <w:endnote w:id="0"/>
  </w:endnotePr>
  <w:compat/>
  <w:rsids>
    <w:rsidRoot w:val="00CB6D68"/>
    <w:rsid w:val="00016737"/>
    <w:rsid w:val="00017D18"/>
    <w:rsid w:val="00022F17"/>
    <w:rsid w:val="000348F3"/>
    <w:rsid w:val="0007312F"/>
    <w:rsid w:val="00075645"/>
    <w:rsid w:val="00077287"/>
    <w:rsid w:val="00096103"/>
    <w:rsid w:val="000B2BEB"/>
    <w:rsid w:val="000B731D"/>
    <w:rsid w:val="000C152B"/>
    <w:rsid w:val="000C5943"/>
    <w:rsid w:val="000C6631"/>
    <w:rsid w:val="000D688E"/>
    <w:rsid w:val="000E539F"/>
    <w:rsid w:val="0011319A"/>
    <w:rsid w:val="00143F57"/>
    <w:rsid w:val="00150886"/>
    <w:rsid w:val="001524F0"/>
    <w:rsid w:val="00157EA9"/>
    <w:rsid w:val="00166A00"/>
    <w:rsid w:val="001700C4"/>
    <w:rsid w:val="001712B1"/>
    <w:rsid w:val="001B177F"/>
    <w:rsid w:val="001B4D35"/>
    <w:rsid w:val="001C005E"/>
    <w:rsid w:val="001E0716"/>
    <w:rsid w:val="001E32AE"/>
    <w:rsid w:val="001E341E"/>
    <w:rsid w:val="001E53B3"/>
    <w:rsid w:val="001E7BE2"/>
    <w:rsid w:val="00205160"/>
    <w:rsid w:val="00213A09"/>
    <w:rsid w:val="00230BF7"/>
    <w:rsid w:val="00231EB1"/>
    <w:rsid w:val="002414BE"/>
    <w:rsid w:val="00246847"/>
    <w:rsid w:val="00247593"/>
    <w:rsid w:val="00250321"/>
    <w:rsid w:val="00251432"/>
    <w:rsid w:val="00254669"/>
    <w:rsid w:val="00260180"/>
    <w:rsid w:val="002663FA"/>
    <w:rsid w:val="00275841"/>
    <w:rsid w:val="00292F27"/>
    <w:rsid w:val="002B7BCD"/>
    <w:rsid w:val="002C7AFB"/>
    <w:rsid w:val="002F5210"/>
    <w:rsid w:val="00315C37"/>
    <w:rsid w:val="00317ED5"/>
    <w:rsid w:val="00320FDD"/>
    <w:rsid w:val="003240BC"/>
    <w:rsid w:val="003255E0"/>
    <w:rsid w:val="0034037C"/>
    <w:rsid w:val="00346291"/>
    <w:rsid w:val="003A3041"/>
    <w:rsid w:val="003B15C1"/>
    <w:rsid w:val="003B2EC3"/>
    <w:rsid w:val="003D6C23"/>
    <w:rsid w:val="003E1694"/>
    <w:rsid w:val="003E6290"/>
    <w:rsid w:val="003F505C"/>
    <w:rsid w:val="003F678D"/>
    <w:rsid w:val="00400DF8"/>
    <w:rsid w:val="00415F0C"/>
    <w:rsid w:val="00416631"/>
    <w:rsid w:val="00423113"/>
    <w:rsid w:val="00427454"/>
    <w:rsid w:val="0043551E"/>
    <w:rsid w:val="004409B2"/>
    <w:rsid w:val="00455856"/>
    <w:rsid w:val="00460D3C"/>
    <w:rsid w:val="00467A6A"/>
    <w:rsid w:val="00470284"/>
    <w:rsid w:val="0047130C"/>
    <w:rsid w:val="004819BB"/>
    <w:rsid w:val="00485477"/>
    <w:rsid w:val="004A1ED5"/>
    <w:rsid w:val="004B0FCC"/>
    <w:rsid w:val="004B46F8"/>
    <w:rsid w:val="004C7495"/>
    <w:rsid w:val="004E0AD6"/>
    <w:rsid w:val="004F6398"/>
    <w:rsid w:val="005039D7"/>
    <w:rsid w:val="005158C4"/>
    <w:rsid w:val="00521A5F"/>
    <w:rsid w:val="00521A9C"/>
    <w:rsid w:val="0052449E"/>
    <w:rsid w:val="005528D8"/>
    <w:rsid w:val="00552C8F"/>
    <w:rsid w:val="0055720C"/>
    <w:rsid w:val="00557A79"/>
    <w:rsid w:val="00565425"/>
    <w:rsid w:val="00565D8A"/>
    <w:rsid w:val="00573DEC"/>
    <w:rsid w:val="005759FC"/>
    <w:rsid w:val="00580BAD"/>
    <w:rsid w:val="0059185A"/>
    <w:rsid w:val="0059308D"/>
    <w:rsid w:val="005939CC"/>
    <w:rsid w:val="005D5666"/>
    <w:rsid w:val="005D596C"/>
    <w:rsid w:val="005F3293"/>
    <w:rsid w:val="00603EEC"/>
    <w:rsid w:val="006232E8"/>
    <w:rsid w:val="00657787"/>
    <w:rsid w:val="00682A57"/>
    <w:rsid w:val="006B7229"/>
    <w:rsid w:val="006C0097"/>
    <w:rsid w:val="006C080F"/>
    <w:rsid w:val="006E3206"/>
    <w:rsid w:val="006E719F"/>
    <w:rsid w:val="006F4FB8"/>
    <w:rsid w:val="00706638"/>
    <w:rsid w:val="007113FC"/>
    <w:rsid w:val="007141BD"/>
    <w:rsid w:val="00715736"/>
    <w:rsid w:val="007316AA"/>
    <w:rsid w:val="00754D3E"/>
    <w:rsid w:val="00763661"/>
    <w:rsid w:val="00775E7E"/>
    <w:rsid w:val="00777A7C"/>
    <w:rsid w:val="0078037F"/>
    <w:rsid w:val="00783EDA"/>
    <w:rsid w:val="00790A7E"/>
    <w:rsid w:val="00797DD8"/>
    <w:rsid w:val="007A55ED"/>
    <w:rsid w:val="007A56DF"/>
    <w:rsid w:val="007B1B87"/>
    <w:rsid w:val="007B4132"/>
    <w:rsid w:val="007C6F54"/>
    <w:rsid w:val="007D5D84"/>
    <w:rsid w:val="007D6C1A"/>
    <w:rsid w:val="0081057C"/>
    <w:rsid w:val="008111FE"/>
    <w:rsid w:val="00811304"/>
    <w:rsid w:val="00817DEE"/>
    <w:rsid w:val="0082240A"/>
    <w:rsid w:val="00826D05"/>
    <w:rsid w:val="008472D8"/>
    <w:rsid w:val="0085110E"/>
    <w:rsid w:val="00857BBF"/>
    <w:rsid w:val="008646A2"/>
    <w:rsid w:val="00872E67"/>
    <w:rsid w:val="00874650"/>
    <w:rsid w:val="00874B38"/>
    <w:rsid w:val="00875025"/>
    <w:rsid w:val="00877628"/>
    <w:rsid w:val="008873D0"/>
    <w:rsid w:val="0089278A"/>
    <w:rsid w:val="0089429D"/>
    <w:rsid w:val="008A271C"/>
    <w:rsid w:val="008A3BD1"/>
    <w:rsid w:val="008C3DA3"/>
    <w:rsid w:val="008D6E8B"/>
    <w:rsid w:val="008D7823"/>
    <w:rsid w:val="008E2E63"/>
    <w:rsid w:val="008E45F8"/>
    <w:rsid w:val="008F1FDD"/>
    <w:rsid w:val="008F6F18"/>
    <w:rsid w:val="0091065E"/>
    <w:rsid w:val="0095435D"/>
    <w:rsid w:val="009558AE"/>
    <w:rsid w:val="00990F68"/>
    <w:rsid w:val="009A619C"/>
    <w:rsid w:val="009B0D60"/>
    <w:rsid w:val="009C00A1"/>
    <w:rsid w:val="009C3564"/>
    <w:rsid w:val="009D0319"/>
    <w:rsid w:val="009D290C"/>
    <w:rsid w:val="00A12B0C"/>
    <w:rsid w:val="00A12C80"/>
    <w:rsid w:val="00A240A6"/>
    <w:rsid w:val="00A25B76"/>
    <w:rsid w:val="00A31B8F"/>
    <w:rsid w:val="00A37C2D"/>
    <w:rsid w:val="00A50622"/>
    <w:rsid w:val="00A715DD"/>
    <w:rsid w:val="00AA75FC"/>
    <w:rsid w:val="00AE00AD"/>
    <w:rsid w:val="00AF77F2"/>
    <w:rsid w:val="00B05AD1"/>
    <w:rsid w:val="00B21A11"/>
    <w:rsid w:val="00B30FAF"/>
    <w:rsid w:val="00B332C5"/>
    <w:rsid w:val="00B35DD3"/>
    <w:rsid w:val="00B47148"/>
    <w:rsid w:val="00B66B8D"/>
    <w:rsid w:val="00B75838"/>
    <w:rsid w:val="00B821A0"/>
    <w:rsid w:val="00BA106C"/>
    <w:rsid w:val="00BA60B5"/>
    <w:rsid w:val="00BE68D1"/>
    <w:rsid w:val="00BF6708"/>
    <w:rsid w:val="00C030F3"/>
    <w:rsid w:val="00C07173"/>
    <w:rsid w:val="00C1504F"/>
    <w:rsid w:val="00C40245"/>
    <w:rsid w:val="00C47AFD"/>
    <w:rsid w:val="00C51AAF"/>
    <w:rsid w:val="00C8408E"/>
    <w:rsid w:val="00C85E22"/>
    <w:rsid w:val="00C87E1B"/>
    <w:rsid w:val="00C90C1B"/>
    <w:rsid w:val="00C96282"/>
    <w:rsid w:val="00CA4418"/>
    <w:rsid w:val="00CA4CA6"/>
    <w:rsid w:val="00CA62B1"/>
    <w:rsid w:val="00CA73B4"/>
    <w:rsid w:val="00CA75C7"/>
    <w:rsid w:val="00CB3F1F"/>
    <w:rsid w:val="00CB5D3E"/>
    <w:rsid w:val="00CB6D68"/>
    <w:rsid w:val="00CC1E01"/>
    <w:rsid w:val="00CD4193"/>
    <w:rsid w:val="00CD7ECA"/>
    <w:rsid w:val="00CE1BE2"/>
    <w:rsid w:val="00CF4860"/>
    <w:rsid w:val="00D1468C"/>
    <w:rsid w:val="00D21F89"/>
    <w:rsid w:val="00D51169"/>
    <w:rsid w:val="00D5135F"/>
    <w:rsid w:val="00D72BF2"/>
    <w:rsid w:val="00D833E2"/>
    <w:rsid w:val="00D842FF"/>
    <w:rsid w:val="00D97BDF"/>
    <w:rsid w:val="00DA04B7"/>
    <w:rsid w:val="00DB3C51"/>
    <w:rsid w:val="00DC1564"/>
    <w:rsid w:val="00DC1DD9"/>
    <w:rsid w:val="00DE632E"/>
    <w:rsid w:val="00E251FF"/>
    <w:rsid w:val="00E332A9"/>
    <w:rsid w:val="00E37D92"/>
    <w:rsid w:val="00E450CF"/>
    <w:rsid w:val="00E560B6"/>
    <w:rsid w:val="00E67904"/>
    <w:rsid w:val="00E72E6C"/>
    <w:rsid w:val="00E86B02"/>
    <w:rsid w:val="00E86B64"/>
    <w:rsid w:val="00E939AD"/>
    <w:rsid w:val="00E95E77"/>
    <w:rsid w:val="00EA5DFA"/>
    <w:rsid w:val="00ED1F77"/>
    <w:rsid w:val="00ED70B2"/>
    <w:rsid w:val="00EF5AAB"/>
    <w:rsid w:val="00F126C3"/>
    <w:rsid w:val="00F20408"/>
    <w:rsid w:val="00F21DB5"/>
    <w:rsid w:val="00F30170"/>
    <w:rsid w:val="00F3759B"/>
    <w:rsid w:val="00F42A2D"/>
    <w:rsid w:val="00F506A6"/>
    <w:rsid w:val="00F60F5F"/>
    <w:rsid w:val="00F634D6"/>
    <w:rsid w:val="00F70106"/>
    <w:rsid w:val="00F87DBB"/>
    <w:rsid w:val="00F9623A"/>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39D7"/>
    <w:pPr>
      <w:spacing w:after="280"/>
      <w:ind w:left="0" w:firstLine="0"/>
    </w:pPr>
    <w:rPr>
      <w:rFonts w:ascii="Times New Roman" w:hAnsi="Times New Roman"/>
      <w:sz w:val="24"/>
      <w:szCs w:val="24"/>
    </w:rPr>
  </w:style>
  <w:style w:type="paragraph" w:styleId="Heading1">
    <w:name w:val="heading 1"/>
    <w:basedOn w:val="Normal"/>
    <w:next w:val="Normal"/>
    <w:qFormat/>
    <w:rsid w:val="005039D7"/>
    <w:pPr>
      <w:keepNext/>
      <w:numPr>
        <w:numId w:val="1"/>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5039D7"/>
    <w:pPr>
      <w:keepNext/>
      <w:numPr>
        <w:ilvl w:val="1"/>
        <w:numId w:val="1"/>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5039D7"/>
    <w:pPr>
      <w:keepNext/>
      <w:numPr>
        <w:ilvl w:val="2"/>
        <w:numId w:val="1"/>
      </w:numPr>
      <w:spacing w:after="180" w:line="240" w:lineRule="auto"/>
      <w:jc w:val="left"/>
      <w:outlineLvl w:val="2"/>
    </w:pPr>
    <w:rPr>
      <w:rFonts w:ascii="Arial" w:hAnsi="Arial" w:cs="Arial"/>
      <w:b/>
      <w:bCs/>
      <w:i/>
      <w:iCs/>
    </w:rPr>
  </w:style>
  <w:style w:type="paragraph" w:styleId="Heading4">
    <w:name w:val="heading 4"/>
    <w:basedOn w:val="Normal"/>
    <w:next w:val="Normal"/>
    <w:qFormat/>
    <w:rsid w:val="005039D7"/>
    <w:pPr>
      <w:keepNext/>
      <w:keepLines/>
      <w:numPr>
        <w:ilvl w:val="3"/>
        <w:numId w:val="1"/>
      </w:numPr>
      <w:spacing w:after="180"/>
      <w:jc w:val="left"/>
      <w:outlineLvl w:val="3"/>
    </w:pPr>
    <w:rPr>
      <w:b/>
      <w:i/>
      <w:iCs/>
      <w:u w:val="single"/>
    </w:rPr>
  </w:style>
  <w:style w:type="paragraph" w:styleId="Heading5">
    <w:name w:val="heading 5"/>
    <w:basedOn w:val="Normal"/>
    <w:next w:val="Normal"/>
    <w:qFormat/>
    <w:rsid w:val="005039D7"/>
    <w:pPr>
      <w:keepNext/>
      <w:keepLines/>
      <w:numPr>
        <w:ilvl w:val="4"/>
        <w:numId w:val="1"/>
      </w:numPr>
      <w:outlineLvl w:val="4"/>
    </w:pPr>
    <w:rPr>
      <w:rFonts w:cs="Arial"/>
      <w:bCs/>
      <w:i/>
      <w:u w:val="single"/>
    </w:rPr>
  </w:style>
  <w:style w:type="paragraph" w:styleId="Heading6">
    <w:name w:val="heading 6"/>
    <w:basedOn w:val="Heading1"/>
    <w:next w:val="Normal"/>
    <w:qFormat/>
    <w:rsid w:val="005039D7"/>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5039D7"/>
    <w:pPr>
      <w:numPr>
        <w:ilvl w:val="6"/>
      </w:numPr>
      <w:tabs>
        <w:tab w:val="left" w:pos="3456"/>
      </w:tabs>
      <w:outlineLvl w:val="6"/>
    </w:pPr>
  </w:style>
  <w:style w:type="paragraph" w:styleId="Heading8">
    <w:name w:val="heading 8"/>
    <w:basedOn w:val="Normal"/>
    <w:next w:val="Normal"/>
    <w:qFormat/>
    <w:rsid w:val="005039D7"/>
    <w:pPr>
      <w:numPr>
        <w:ilvl w:val="7"/>
        <w:numId w:val="1"/>
      </w:numPr>
      <w:outlineLvl w:val="7"/>
    </w:pPr>
    <w:rPr>
      <w:rFonts w:ascii="Tms Rmn" w:hAnsi="Tms Rmn"/>
      <w:i/>
      <w:iCs/>
      <w:sz w:val="20"/>
      <w:szCs w:val="20"/>
    </w:rPr>
  </w:style>
  <w:style w:type="paragraph" w:styleId="Heading9">
    <w:name w:val="heading 9"/>
    <w:basedOn w:val="Normal"/>
    <w:next w:val="Normal"/>
    <w:qFormat/>
    <w:rsid w:val="005039D7"/>
    <w:pPr>
      <w:numPr>
        <w:ilvl w:val="8"/>
        <w:numId w:val="1"/>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5039D7"/>
    <w:rPr>
      <w:rFonts w:ascii="Times New Roman" w:hAnsi="Times New Roman"/>
      <w:sz w:val="24"/>
      <w:szCs w:val="24"/>
    </w:rPr>
  </w:style>
  <w:style w:type="paragraph" w:customStyle="1" w:styleId="pB">
    <w:name w:val="pB"/>
    <w:basedOn w:val="Normal"/>
    <w:rsid w:val="005039D7"/>
    <w:pPr>
      <w:tabs>
        <w:tab w:val="left" w:pos="720"/>
        <w:tab w:val="left" w:pos="1080"/>
      </w:tabs>
      <w:ind w:right="288"/>
    </w:pPr>
  </w:style>
  <w:style w:type="paragraph" w:customStyle="1" w:styleId="pF">
    <w:name w:val="pF"/>
    <w:rsid w:val="005039D7"/>
    <w:rPr>
      <w:rFonts w:ascii="Times New Roman" w:hAnsi="Times New Roman"/>
      <w:sz w:val="24"/>
      <w:szCs w:val="24"/>
    </w:rPr>
  </w:style>
  <w:style w:type="paragraph" w:customStyle="1" w:styleId="pS">
    <w:name w:val="pS"/>
    <w:rsid w:val="005039D7"/>
    <w:pPr>
      <w:tabs>
        <w:tab w:val="left" w:pos="720"/>
        <w:tab w:val="left" w:pos="1080"/>
      </w:tabs>
      <w:ind w:right="288"/>
    </w:pPr>
    <w:rPr>
      <w:rFonts w:ascii="Times New Roman" w:hAnsi="Times New Roman"/>
      <w:sz w:val="24"/>
      <w:szCs w:val="24"/>
    </w:rPr>
  </w:style>
  <w:style w:type="paragraph" w:customStyle="1" w:styleId="pD">
    <w:name w:val="pD"/>
    <w:basedOn w:val="pF"/>
    <w:rsid w:val="005039D7"/>
    <w:pPr>
      <w:tabs>
        <w:tab w:val="left" w:pos="1152"/>
      </w:tabs>
      <w:spacing w:before="60" w:line="280" w:lineRule="atLeast"/>
      <w:ind w:left="1152" w:right="288"/>
    </w:pPr>
  </w:style>
  <w:style w:type="paragraph" w:customStyle="1" w:styleId="pE">
    <w:name w:val="pE"/>
    <w:basedOn w:val="pD"/>
    <w:rsid w:val="005039D7"/>
    <w:pPr>
      <w:tabs>
        <w:tab w:val="clear" w:pos="1152"/>
      </w:tabs>
      <w:spacing w:line="240" w:lineRule="atLeast"/>
      <w:ind w:left="1440" w:hanging="288"/>
    </w:pPr>
  </w:style>
  <w:style w:type="paragraph" w:styleId="Header">
    <w:name w:val="header"/>
    <w:basedOn w:val="pF"/>
    <w:link w:val="HeaderChar"/>
    <w:rsid w:val="005039D7"/>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5039D7"/>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5039D7"/>
    <w:rPr>
      <w:position w:val="6"/>
      <w:sz w:val="16"/>
      <w:szCs w:val="16"/>
    </w:rPr>
  </w:style>
  <w:style w:type="paragraph" w:styleId="FootnoteText">
    <w:name w:val="footnote text"/>
    <w:basedOn w:val="Normal"/>
    <w:link w:val="FootnoteTextChar"/>
    <w:autoRedefine/>
    <w:rsid w:val="005039D7"/>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5039D7"/>
    <w:rPr>
      <w:rFonts w:ascii="Tms Rmn" w:hAnsi="Tms Rmn"/>
    </w:rPr>
  </w:style>
  <w:style w:type="paragraph" w:styleId="Index2">
    <w:name w:val="index 2"/>
    <w:basedOn w:val="Normal"/>
    <w:next w:val="Normal"/>
    <w:rsid w:val="005039D7"/>
    <w:pPr>
      <w:ind w:left="360"/>
    </w:pPr>
    <w:rPr>
      <w:rFonts w:ascii="Tms Rmn" w:hAnsi="Tms Rmn"/>
    </w:rPr>
  </w:style>
  <w:style w:type="paragraph" w:styleId="Index3">
    <w:name w:val="index 3"/>
    <w:basedOn w:val="Normal"/>
    <w:next w:val="Normal"/>
    <w:rsid w:val="005039D7"/>
    <w:rPr>
      <w:rFonts w:ascii="Tms Rmn" w:hAnsi="Tms Rmn"/>
    </w:rPr>
  </w:style>
  <w:style w:type="paragraph" w:styleId="Index4">
    <w:name w:val="index 4"/>
    <w:basedOn w:val="Normal"/>
    <w:next w:val="Normal"/>
    <w:rsid w:val="005039D7"/>
    <w:rPr>
      <w:rFonts w:ascii="Tms Rmn" w:hAnsi="Tms Rmn"/>
    </w:rPr>
  </w:style>
  <w:style w:type="paragraph" w:styleId="Index5">
    <w:name w:val="index 5"/>
    <w:basedOn w:val="Normal"/>
    <w:next w:val="Normal"/>
    <w:rsid w:val="005039D7"/>
    <w:pPr>
      <w:ind w:left="1440"/>
    </w:pPr>
    <w:rPr>
      <w:rFonts w:ascii="Tms Rmn" w:hAnsi="Tms Rmn"/>
    </w:rPr>
  </w:style>
  <w:style w:type="paragraph" w:styleId="Index6">
    <w:name w:val="index 6"/>
    <w:basedOn w:val="Normal"/>
    <w:next w:val="Normal"/>
    <w:rsid w:val="005039D7"/>
    <w:pPr>
      <w:ind w:left="1800"/>
    </w:pPr>
    <w:rPr>
      <w:rFonts w:ascii="Tms Rmn" w:hAnsi="Tms Rmn"/>
    </w:rPr>
  </w:style>
  <w:style w:type="paragraph" w:styleId="Index7">
    <w:name w:val="index 7"/>
    <w:basedOn w:val="Normal"/>
    <w:next w:val="Normal"/>
    <w:rsid w:val="005039D7"/>
    <w:pPr>
      <w:ind w:left="2160"/>
    </w:pPr>
    <w:rPr>
      <w:rFonts w:ascii="Tms Rmn" w:hAnsi="Tms Rmn"/>
    </w:rPr>
  </w:style>
  <w:style w:type="paragraph" w:styleId="IndexHeading">
    <w:name w:val="index heading"/>
    <w:basedOn w:val="Normal"/>
    <w:next w:val="Index1"/>
    <w:rsid w:val="005039D7"/>
    <w:rPr>
      <w:rFonts w:ascii="Tms Rmn" w:hAnsi="Tms Rmn"/>
    </w:rPr>
  </w:style>
  <w:style w:type="character" w:styleId="LineNumber">
    <w:name w:val="line number"/>
    <w:basedOn w:val="DefaultParagraphFont"/>
    <w:rsid w:val="005039D7"/>
  </w:style>
  <w:style w:type="paragraph" w:customStyle="1" w:styleId="pA">
    <w:name w:val="pA"/>
    <w:rsid w:val="005039D7"/>
    <w:pPr>
      <w:spacing w:line="130" w:lineRule="exact"/>
    </w:pPr>
    <w:rPr>
      <w:rFonts w:ascii="Times New Roman" w:hAnsi="Times New Roman"/>
      <w:sz w:val="24"/>
      <w:szCs w:val="24"/>
    </w:rPr>
  </w:style>
  <w:style w:type="paragraph" w:customStyle="1" w:styleId="pG">
    <w:name w:val="pG"/>
    <w:basedOn w:val="Normal"/>
    <w:rsid w:val="005039D7"/>
    <w:pPr>
      <w:keepNext/>
      <w:spacing w:after="130"/>
      <w:ind w:left="720" w:hanging="432"/>
    </w:pPr>
    <w:rPr>
      <w:rFonts w:ascii="Arial" w:hAnsi="Arial" w:cs="Arial"/>
      <w:b/>
      <w:bCs/>
    </w:rPr>
  </w:style>
  <w:style w:type="paragraph" w:customStyle="1" w:styleId="pT">
    <w:name w:val="pT"/>
    <w:basedOn w:val="Normal"/>
    <w:rsid w:val="005039D7"/>
    <w:pPr>
      <w:keepNext/>
      <w:spacing w:after="130"/>
      <w:ind w:left="720" w:hanging="432"/>
    </w:pPr>
    <w:rPr>
      <w:rFonts w:ascii="Arial" w:hAnsi="Arial" w:cs="Arial"/>
      <w:b/>
      <w:bCs/>
    </w:rPr>
  </w:style>
  <w:style w:type="paragraph" w:customStyle="1" w:styleId="pX">
    <w:name w:val="pX"/>
    <w:basedOn w:val="pF"/>
    <w:rsid w:val="005039D7"/>
    <w:pPr>
      <w:spacing w:line="240" w:lineRule="atLeast"/>
    </w:pPr>
  </w:style>
  <w:style w:type="paragraph" w:customStyle="1" w:styleId="TitlePage">
    <w:name w:val="Title Page"/>
    <w:basedOn w:val="Normal"/>
    <w:rsid w:val="005039D7"/>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5039D7"/>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5039D7"/>
    <w:pPr>
      <w:spacing w:before="0" w:after="0"/>
      <w:ind w:left="864" w:right="720" w:hanging="432"/>
    </w:pPr>
    <w:rPr>
      <w:b w:val="0"/>
      <w:bCs w:val="0"/>
    </w:rPr>
  </w:style>
  <w:style w:type="paragraph" w:styleId="TOC3">
    <w:name w:val="toc 3"/>
    <w:basedOn w:val="TOC1"/>
    <w:uiPriority w:val="39"/>
    <w:rsid w:val="005039D7"/>
    <w:pPr>
      <w:spacing w:before="0" w:after="0"/>
      <w:ind w:left="1296" w:right="720" w:hanging="432"/>
    </w:pPr>
    <w:rPr>
      <w:b w:val="0"/>
      <w:bCs w:val="0"/>
      <w:i/>
      <w:iCs/>
      <w:sz w:val="20"/>
      <w:szCs w:val="20"/>
    </w:rPr>
  </w:style>
  <w:style w:type="paragraph" w:styleId="TOC4">
    <w:name w:val="toc 4"/>
    <w:basedOn w:val="TOC1"/>
    <w:rsid w:val="005039D7"/>
    <w:pPr>
      <w:spacing w:before="0" w:after="0"/>
    </w:pPr>
    <w:rPr>
      <w:rFonts w:cs="Times New Roman"/>
      <w:b w:val="0"/>
      <w:bCs w:val="0"/>
      <w:sz w:val="20"/>
      <w:szCs w:val="20"/>
    </w:rPr>
  </w:style>
  <w:style w:type="paragraph" w:styleId="TOC5">
    <w:name w:val="toc 5"/>
    <w:basedOn w:val="TOC4"/>
    <w:next w:val="Normal"/>
    <w:rsid w:val="005039D7"/>
  </w:style>
  <w:style w:type="paragraph" w:styleId="EnvelopeAddress">
    <w:name w:val="envelope address"/>
    <w:basedOn w:val="Normal"/>
    <w:rsid w:val="005039D7"/>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5039D7"/>
    <w:pPr>
      <w:keepNext/>
      <w:spacing w:before="480" w:after="360" w:line="720" w:lineRule="exact"/>
    </w:pPr>
    <w:rPr>
      <w:rFonts w:ascii="Arial" w:hAnsi="Arial" w:cs="Arial"/>
      <w:b/>
      <w:bCs/>
      <w:i/>
      <w:iCs/>
      <w:sz w:val="72"/>
      <w:szCs w:val="72"/>
    </w:rPr>
  </w:style>
  <w:style w:type="paragraph" w:styleId="ListBullet">
    <w:name w:val="List Bullet"/>
    <w:basedOn w:val="Normal"/>
    <w:rsid w:val="005039D7"/>
    <w:pPr>
      <w:ind w:left="360"/>
    </w:pPr>
  </w:style>
  <w:style w:type="paragraph" w:customStyle="1" w:styleId="pA2">
    <w:name w:val="pA2"/>
    <w:basedOn w:val="pA"/>
    <w:next w:val="pA"/>
    <w:rsid w:val="005039D7"/>
  </w:style>
  <w:style w:type="paragraph" w:styleId="Caption">
    <w:name w:val="caption"/>
    <w:basedOn w:val="Normal"/>
    <w:next w:val="Normal"/>
    <w:autoRedefine/>
    <w:qFormat/>
    <w:rsid w:val="005039D7"/>
    <w:pPr>
      <w:keepNext/>
      <w:keepLines/>
      <w:spacing w:before="120" w:after="120"/>
      <w:jc w:val="left"/>
    </w:pPr>
    <w:rPr>
      <w:rFonts w:ascii="Arial" w:hAnsi="Arial" w:cs="Arial"/>
      <w:b/>
      <w:bCs/>
    </w:rPr>
  </w:style>
  <w:style w:type="paragraph" w:customStyle="1" w:styleId="resumeparagraph">
    <w:name w:val="resume paragraph"/>
    <w:rsid w:val="005039D7"/>
    <w:pPr>
      <w:spacing w:before="100" w:line="240" w:lineRule="exact"/>
      <w:ind w:hanging="288"/>
    </w:pPr>
    <w:rPr>
      <w:rFonts w:ascii="Times New Roman" w:hAnsi="Times New Roman"/>
      <w:sz w:val="24"/>
      <w:szCs w:val="24"/>
    </w:rPr>
  </w:style>
  <w:style w:type="paragraph" w:customStyle="1" w:styleId="Headline">
    <w:name w:val="Headline"/>
    <w:basedOn w:val="Normal"/>
    <w:rsid w:val="005039D7"/>
    <w:pPr>
      <w:spacing w:line="240" w:lineRule="auto"/>
    </w:pPr>
    <w:rPr>
      <w:b/>
      <w:bCs/>
      <w:sz w:val="36"/>
      <w:szCs w:val="36"/>
    </w:rPr>
  </w:style>
  <w:style w:type="paragraph" w:customStyle="1" w:styleId="projtitle">
    <w:name w:val="projtitle"/>
    <w:basedOn w:val="Normal"/>
    <w:next w:val="For"/>
    <w:rsid w:val="005039D7"/>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5039D7"/>
    <w:pPr>
      <w:tabs>
        <w:tab w:val="clear" w:pos="720"/>
        <w:tab w:val="clear" w:pos="1080"/>
        <w:tab w:val="left" w:pos="-1170"/>
      </w:tabs>
      <w:spacing w:after="240"/>
    </w:pPr>
  </w:style>
  <w:style w:type="paragraph" w:customStyle="1" w:styleId="For">
    <w:name w:val="For"/>
    <w:basedOn w:val="Normal"/>
    <w:next w:val="Contact"/>
    <w:rsid w:val="005039D7"/>
    <w:pPr>
      <w:keepNext/>
      <w:keepLines/>
      <w:tabs>
        <w:tab w:val="left" w:pos="720"/>
        <w:tab w:val="left" w:pos="1080"/>
      </w:tabs>
      <w:spacing w:line="280" w:lineRule="exact"/>
      <w:ind w:left="1152" w:right="288"/>
    </w:pPr>
  </w:style>
  <w:style w:type="paragraph" w:customStyle="1" w:styleId="Contact">
    <w:name w:val="Contact"/>
    <w:basedOn w:val="Normal"/>
    <w:next w:val="summary"/>
    <w:rsid w:val="005039D7"/>
    <w:pPr>
      <w:keepNext/>
      <w:keepLines/>
      <w:tabs>
        <w:tab w:val="left" w:pos="720"/>
        <w:tab w:val="left" w:pos="1080"/>
      </w:tabs>
      <w:spacing w:line="280" w:lineRule="exact"/>
      <w:ind w:left="1152" w:right="288"/>
    </w:pPr>
  </w:style>
  <w:style w:type="paragraph" w:customStyle="1" w:styleId="question">
    <w:name w:val="question"/>
    <w:basedOn w:val="pF"/>
    <w:rsid w:val="005039D7"/>
    <w:pPr>
      <w:ind w:hanging="720"/>
    </w:pPr>
  </w:style>
  <w:style w:type="paragraph" w:styleId="TOC6">
    <w:name w:val="toc 6"/>
    <w:basedOn w:val="Normal"/>
    <w:next w:val="Normal"/>
    <w:rsid w:val="005039D7"/>
    <w:pPr>
      <w:tabs>
        <w:tab w:val="right" w:leader="dot" w:pos="9000"/>
      </w:tabs>
      <w:spacing w:line="240" w:lineRule="auto"/>
      <w:ind w:left="1200"/>
    </w:pPr>
  </w:style>
  <w:style w:type="paragraph" w:customStyle="1" w:styleId="Variabledefinition">
    <w:name w:val="Variable definition"/>
    <w:basedOn w:val="pD"/>
    <w:rsid w:val="005039D7"/>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5039D7"/>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5039D7"/>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5039D7"/>
    <w:rPr>
      <w:rFonts w:ascii="Tahoma" w:hAnsi="Tahoma" w:cs="Tahoma"/>
      <w:sz w:val="16"/>
      <w:szCs w:val="16"/>
    </w:rPr>
  </w:style>
  <w:style w:type="character" w:styleId="CommentReference">
    <w:name w:val="annotation reference"/>
    <w:basedOn w:val="DefaultParagraphFont"/>
    <w:uiPriority w:val="99"/>
    <w:rsid w:val="005039D7"/>
    <w:rPr>
      <w:sz w:val="16"/>
    </w:rPr>
  </w:style>
  <w:style w:type="paragraph" w:styleId="CommentText">
    <w:name w:val="annotation text"/>
    <w:basedOn w:val="Normal"/>
    <w:link w:val="CommentTextChar"/>
    <w:uiPriority w:val="99"/>
    <w:rsid w:val="005039D7"/>
    <w:rPr>
      <w:sz w:val="20"/>
      <w:szCs w:val="20"/>
    </w:rPr>
  </w:style>
  <w:style w:type="paragraph" w:styleId="CommentSubject">
    <w:name w:val="annotation subject"/>
    <w:basedOn w:val="CommentText"/>
    <w:next w:val="CommentText"/>
    <w:rsid w:val="005039D7"/>
    <w:rPr>
      <w:b/>
      <w:bCs/>
    </w:rPr>
  </w:style>
  <w:style w:type="paragraph" w:styleId="DocumentMap">
    <w:name w:val="Document Map"/>
    <w:basedOn w:val="Normal"/>
    <w:rsid w:val="005039D7"/>
    <w:pPr>
      <w:shd w:val="clear" w:color="auto" w:fill="000080"/>
    </w:pPr>
    <w:rPr>
      <w:rFonts w:ascii="Tahoma" w:hAnsi="Tahoma" w:cs="Tahoma"/>
    </w:rPr>
  </w:style>
  <w:style w:type="character" w:styleId="PageNumber">
    <w:name w:val="page number"/>
    <w:basedOn w:val="DefaultParagraphFont"/>
    <w:rsid w:val="005039D7"/>
  </w:style>
  <w:style w:type="table" w:styleId="TableGrid">
    <w:name w:val="Table Grid"/>
    <w:basedOn w:val="TableNormal"/>
    <w:rsid w:val="005039D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5039D7"/>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5039D7"/>
    <w:rPr>
      <w:color w:val="0000FF"/>
      <w:u w:val="single"/>
    </w:rPr>
  </w:style>
  <w:style w:type="paragraph" w:customStyle="1" w:styleId="CEUSIndent5">
    <w:name w:val="CEUS_Indent5"/>
    <w:basedOn w:val="pE"/>
    <w:rsid w:val="005039D7"/>
    <w:pPr>
      <w:ind w:left="2070" w:hanging="432"/>
    </w:pPr>
    <w:rPr>
      <w:szCs w:val="20"/>
    </w:rPr>
  </w:style>
  <w:style w:type="paragraph" w:styleId="ListBullet2">
    <w:name w:val="List Bullet 2"/>
    <w:basedOn w:val="Normal"/>
    <w:rsid w:val="005039D7"/>
    <w:pPr>
      <w:numPr>
        <w:numId w:val="8"/>
      </w:numPr>
      <w:contextualSpacing/>
    </w:pPr>
  </w:style>
  <w:style w:type="numbering" w:customStyle="1" w:styleId="Itron">
    <w:name w:val="Itron"/>
    <w:uiPriority w:val="99"/>
    <w:rsid w:val="005039D7"/>
    <w:pPr>
      <w:numPr>
        <w:numId w:val="10"/>
      </w:numPr>
    </w:pPr>
  </w:style>
  <w:style w:type="numbering" w:customStyle="1" w:styleId="CnAListBullets">
    <w:name w:val="CnAListBullets"/>
    <w:rsid w:val="005039D7"/>
    <w:pPr>
      <w:numPr>
        <w:numId w:val="11"/>
      </w:numPr>
    </w:pPr>
  </w:style>
  <w:style w:type="paragraph" w:styleId="ListParagraph">
    <w:name w:val="List Paragraph"/>
    <w:basedOn w:val="Normal"/>
    <w:uiPriority w:val="99"/>
    <w:qFormat/>
    <w:rsid w:val="005039D7"/>
    <w:pPr>
      <w:spacing w:after="80"/>
    </w:pPr>
  </w:style>
  <w:style w:type="paragraph" w:customStyle="1" w:styleId="CoverTitle">
    <w:name w:val="CoverTitle"/>
    <w:basedOn w:val="Normal"/>
    <w:link w:val="CoverTitleChar"/>
    <w:qFormat/>
    <w:rsid w:val="005039D7"/>
    <w:pPr>
      <w:spacing w:after="120"/>
      <w:jc w:val="center"/>
    </w:pPr>
    <w:rPr>
      <w:rFonts w:ascii="Arial" w:hAnsi="Arial"/>
      <w:b/>
      <w:sz w:val="40"/>
    </w:rPr>
  </w:style>
  <w:style w:type="character" w:customStyle="1" w:styleId="CoverTitleChar">
    <w:name w:val="CoverTitle Char"/>
    <w:basedOn w:val="DefaultParagraphFont"/>
    <w:link w:val="CoverTitle"/>
    <w:rsid w:val="005039D7"/>
    <w:rPr>
      <w:rFonts w:ascii="Arial" w:hAnsi="Arial"/>
      <w:b/>
      <w:sz w:val="40"/>
      <w:szCs w:val="24"/>
    </w:rPr>
  </w:style>
  <w:style w:type="paragraph" w:customStyle="1" w:styleId="CoverNormal">
    <w:name w:val="CoverNormal"/>
    <w:basedOn w:val="Normal"/>
    <w:link w:val="CoverNormalChar"/>
    <w:qFormat/>
    <w:rsid w:val="005039D7"/>
    <w:pPr>
      <w:contextualSpacing/>
      <w:jc w:val="center"/>
    </w:pPr>
    <w:rPr>
      <w:rFonts w:ascii="Arial" w:hAnsi="Arial"/>
    </w:rPr>
  </w:style>
  <w:style w:type="character" w:customStyle="1" w:styleId="CoverNormalChar">
    <w:name w:val="CoverNormal Char"/>
    <w:basedOn w:val="DefaultParagraphFont"/>
    <w:link w:val="CoverNormal"/>
    <w:rsid w:val="005039D7"/>
    <w:rPr>
      <w:rFonts w:ascii="Arial" w:hAnsi="Arial"/>
      <w:sz w:val="24"/>
      <w:szCs w:val="24"/>
    </w:rPr>
  </w:style>
  <w:style w:type="paragraph" w:customStyle="1" w:styleId="Halfline">
    <w:name w:val="Halfline"/>
    <w:basedOn w:val="Normal"/>
    <w:next w:val="Normal"/>
    <w:link w:val="HalflineChar"/>
    <w:qFormat/>
    <w:rsid w:val="005039D7"/>
    <w:pPr>
      <w:spacing w:after="130" w:line="130" w:lineRule="exact"/>
      <w:jc w:val="left"/>
    </w:pPr>
  </w:style>
  <w:style w:type="character" w:customStyle="1" w:styleId="HalflineChar">
    <w:name w:val="Halfline Char"/>
    <w:basedOn w:val="DefaultParagraphFont"/>
    <w:link w:val="Halfline"/>
    <w:rsid w:val="005039D7"/>
    <w:rPr>
      <w:rFonts w:ascii="Times New Roman" w:hAnsi="Times New Roman"/>
      <w:sz w:val="24"/>
      <w:szCs w:val="24"/>
    </w:rPr>
  </w:style>
  <w:style w:type="paragraph" w:customStyle="1" w:styleId="LetterheadParagraph">
    <w:name w:val="Letterhead Paragraph"/>
    <w:basedOn w:val="Normal"/>
    <w:qFormat/>
    <w:rsid w:val="005039D7"/>
    <w:pPr>
      <w:spacing w:after="0"/>
    </w:pPr>
    <w:rPr>
      <w:rFonts w:ascii="Arial Narrow" w:hAnsi="Arial Narrow"/>
    </w:rPr>
  </w:style>
  <w:style w:type="character" w:customStyle="1" w:styleId="FootnoteTextChar">
    <w:name w:val="Footnote Text Char"/>
    <w:basedOn w:val="DefaultParagraphFont"/>
    <w:link w:val="FootnoteText"/>
    <w:rsid w:val="005039D7"/>
  </w:style>
  <w:style w:type="character" w:customStyle="1" w:styleId="tablefootnoteChar">
    <w:name w:val="table footnote Char"/>
    <w:basedOn w:val="DefaultParagraphFont"/>
    <w:link w:val="tablefootnote"/>
    <w:rsid w:val="005039D7"/>
    <w:rPr>
      <w:rFonts w:ascii="Times New Roman" w:hAnsi="Times New Roman"/>
    </w:rPr>
  </w:style>
  <w:style w:type="paragraph" w:customStyle="1" w:styleId="TitleSub">
    <w:name w:val="TitleSub"/>
    <w:basedOn w:val="Title"/>
    <w:link w:val="TitleSubChar"/>
    <w:autoRedefine/>
    <w:qFormat/>
    <w:rsid w:val="005039D7"/>
    <w:rPr>
      <w:b w:val="0"/>
      <w:sz w:val="32"/>
    </w:rPr>
  </w:style>
  <w:style w:type="character" w:customStyle="1" w:styleId="TitleSubChar">
    <w:name w:val="TitleSub Char"/>
    <w:basedOn w:val="TitleChar"/>
    <w:link w:val="TitleSub"/>
    <w:rsid w:val="005039D7"/>
    <w:rPr>
      <w:sz w:val="32"/>
    </w:rPr>
  </w:style>
  <w:style w:type="character" w:customStyle="1" w:styleId="TitleChar">
    <w:name w:val="Title Char"/>
    <w:basedOn w:val="DefaultParagraphFont"/>
    <w:link w:val="Title"/>
    <w:uiPriority w:val="10"/>
    <w:rsid w:val="005039D7"/>
    <w:rPr>
      <w:rFonts w:ascii="Arial" w:hAnsi="Arial"/>
      <w:b/>
      <w:color w:val="17365D"/>
      <w:spacing w:val="5"/>
      <w:kern w:val="28"/>
      <w:sz w:val="40"/>
      <w:szCs w:val="52"/>
    </w:rPr>
  </w:style>
  <w:style w:type="paragraph" w:customStyle="1" w:styleId="TitleAdd">
    <w:name w:val="TitleAdd"/>
    <w:basedOn w:val="Title"/>
    <w:link w:val="TitleAddChar"/>
    <w:autoRedefine/>
    <w:qFormat/>
    <w:rsid w:val="005039D7"/>
    <w:rPr>
      <w:b w:val="0"/>
      <w:sz w:val="24"/>
      <w:szCs w:val="32"/>
    </w:rPr>
  </w:style>
  <w:style w:type="character" w:customStyle="1" w:styleId="TitleAddChar">
    <w:name w:val="TitleAdd Char"/>
    <w:basedOn w:val="TitleChar"/>
    <w:link w:val="TitleAdd"/>
    <w:rsid w:val="005039D7"/>
    <w:rPr>
      <w:sz w:val="24"/>
      <w:szCs w:val="32"/>
    </w:rPr>
  </w:style>
  <w:style w:type="table" w:customStyle="1" w:styleId="ItronBasic">
    <w:name w:val="ItronBasic"/>
    <w:basedOn w:val="TableNormal"/>
    <w:uiPriority w:val="99"/>
    <w:qFormat/>
    <w:rsid w:val="00CB6D68"/>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character" w:customStyle="1" w:styleId="CommentTextChar">
    <w:name w:val="Comment Text Char"/>
    <w:basedOn w:val="DefaultParagraphFont"/>
    <w:link w:val="CommentText"/>
    <w:uiPriority w:val="99"/>
    <w:rsid w:val="006F4FB8"/>
    <w:rPr>
      <w:rFonts w:ascii="Times New Roman" w:hAnsi="Times New Roman"/>
    </w:rPr>
  </w:style>
  <w:style w:type="table" w:styleId="TableProfessional">
    <w:name w:val="Table Professional"/>
    <w:basedOn w:val="TableNormal"/>
    <w:rsid w:val="00016737"/>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2240A"/>
    <w:pPr>
      <w:spacing w:after="0" w:line="240" w:lineRule="auto"/>
      <w:ind w:left="0" w:firstLine="0"/>
      <w:jc w:val="left"/>
    </w:pPr>
    <w:rPr>
      <w:rFonts w:ascii="Times New Roman" w:hAnsi="Times New Roman"/>
      <w:sz w:val="24"/>
      <w:szCs w:val="24"/>
    </w:rPr>
  </w:style>
  <w:style w:type="character" w:customStyle="1" w:styleId="HeaderChar">
    <w:name w:val="Header Char"/>
    <w:basedOn w:val="DefaultParagraphFont"/>
    <w:link w:val="Header"/>
    <w:rsid w:val="004F6398"/>
    <w:rPr>
      <w:i/>
      <w:i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7298D-1648-414C-9862-52E2FB5A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2809</Words>
  <Characters>15285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RER, Inc.</Company>
  <LinksUpToDate>false</LinksUpToDate>
  <CharactersWithSpaces>18058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L Harris</dc:creator>
  <cp:lastModifiedBy>ALEXK</cp:lastModifiedBy>
  <cp:revision>4</cp:revision>
  <cp:lastPrinted>2009-01-22T17:29:00Z</cp:lastPrinted>
  <dcterms:created xsi:type="dcterms:W3CDTF">2011-11-04T05:11:00Z</dcterms:created>
  <dcterms:modified xsi:type="dcterms:W3CDTF">2011-11-08T20:04:00Z</dcterms:modified>
</cp:coreProperties>
</file>